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96" w:rsidRDefault="009722C8" w:rsidP="00E67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Правовые аспекты</w:t>
      </w:r>
      <w:r w:rsidR="00B05589" w:rsidRPr="00B05589">
        <w:rPr>
          <w:rFonts w:ascii="Times New Roman" w:hAnsi="Times New Roman" w:cs="Times New Roman"/>
          <w:b/>
          <w:sz w:val="28"/>
          <w:szCs w:val="28"/>
        </w:rPr>
        <w:t xml:space="preserve"> деятельности Консультационно-правового центра по вопросам ЖКХ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Консультационно-правовой центр по вопросам защиты и обеспечения прав граждан при предоставлении жилищно-коммунальных услуг создан в</w:t>
      </w:r>
      <w:r w:rsidR="00C161B0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F12483">
        <w:rPr>
          <w:rFonts w:ascii="Times New Roman" w:hAnsi="Times New Roman" w:cs="Times New Roman"/>
          <w:sz w:val="24"/>
          <w:szCs w:val="24"/>
        </w:rPr>
        <w:t xml:space="preserve"> </w:t>
      </w:r>
      <w:r w:rsidR="00C161B0">
        <w:rPr>
          <w:rFonts w:ascii="Times New Roman" w:hAnsi="Times New Roman" w:cs="Times New Roman"/>
          <w:sz w:val="24"/>
          <w:szCs w:val="24"/>
        </w:rPr>
        <w:t>Постановления</w:t>
      </w:r>
      <w:r w:rsidRPr="00F12483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– Югры №</w:t>
      </w:r>
      <w:r w:rsidR="00CA5219">
        <w:rPr>
          <w:rFonts w:ascii="Times New Roman" w:hAnsi="Times New Roman" w:cs="Times New Roman"/>
          <w:sz w:val="24"/>
          <w:szCs w:val="24"/>
        </w:rPr>
        <w:t xml:space="preserve"> </w:t>
      </w:r>
      <w:r w:rsidRPr="00F12483">
        <w:rPr>
          <w:rFonts w:ascii="Times New Roman" w:hAnsi="Times New Roman" w:cs="Times New Roman"/>
          <w:sz w:val="24"/>
          <w:szCs w:val="24"/>
        </w:rPr>
        <w:t>384-п от 13.10.2011 г.</w:t>
      </w:r>
    </w:p>
    <w:p w:rsidR="00B05589" w:rsidRPr="00F12483" w:rsidRDefault="00C161B0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B05589" w:rsidRPr="00F12483">
        <w:rPr>
          <w:rFonts w:ascii="Times New Roman" w:hAnsi="Times New Roman" w:cs="Times New Roman"/>
          <w:sz w:val="24"/>
          <w:szCs w:val="24"/>
        </w:rPr>
        <w:t>Консул</w:t>
      </w:r>
      <w:r>
        <w:rPr>
          <w:rFonts w:ascii="Times New Roman" w:hAnsi="Times New Roman" w:cs="Times New Roman"/>
          <w:sz w:val="24"/>
          <w:szCs w:val="24"/>
        </w:rPr>
        <w:t>ьтационно-правого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п.2 ст.3 закона Ханты-Мансийского автономного округа – Югры от 30 апреля 2011 г. №</w:t>
      </w:r>
      <w:r w:rsidR="00CA5219">
        <w:rPr>
          <w:rFonts w:ascii="Times New Roman" w:hAnsi="Times New Roman" w:cs="Times New Roman"/>
          <w:sz w:val="24"/>
          <w:szCs w:val="24"/>
        </w:rPr>
        <w:t xml:space="preserve"> 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32-оз «О некоторых вопросах жилищно-коммунальной политики </w:t>
      </w:r>
      <w:proofErr w:type="gramStart"/>
      <w:r w:rsidR="00B05589" w:rsidRPr="00F124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5589" w:rsidRPr="00F12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589" w:rsidRPr="00F1248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B05589" w:rsidRPr="00F12483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номном округе – Югре»: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1.  Консультирование граждан по вопросам: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качество предоставления жилищно-коммунальных услуг;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особенности тарифов и надбавок на товары и услуги организаций коммунального комплекса;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соответствия деятельности организаций коммунального комплекса законодательству Российской Федерации и автономного округа;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защиты и обеспечения реализации прав граждан по вопросам предоставления им жилищно-коммунальных услуг;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 xml:space="preserve">- создания и деятельности </w:t>
      </w:r>
      <w:r w:rsidR="00C161B0">
        <w:rPr>
          <w:rFonts w:ascii="Times New Roman" w:hAnsi="Times New Roman" w:cs="Times New Roman"/>
          <w:sz w:val="24"/>
          <w:szCs w:val="24"/>
        </w:rPr>
        <w:t>товариществ собственников жилья.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2. Рассмотрение и проверка сведений, содержащихся в представляемых гражданами документах, связанных с управлением многоквартирными домами, в том числе в договорах управления, отчетах организаций коммунальн</w:t>
      </w:r>
      <w:r w:rsidR="00C161B0">
        <w:rPr>
          <w:rFonts w:ascii="Times New Roman" w:hAnsi="Times New Roman" w:cs="Times New Roman"/>
          <w:sz w:val="24"/>
          <w:szCs w:val="24"/>
        </w:rPr>
        <w:t>ого комплекса и иных документах.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3. Представление в органы государственной власти автономного округа и органы местного самоуправления муниципальных образований автономного округа по их запросам информации о нарушениях прав граждан при предоставлени</w:t>
      </w:r>
      <w:r w:rsidR="00C161B0">
        <w:rPr>
          <w:rFonts w:ascii="Times New Roman" w:hAnsi="Times New Roman" w:cs="Times New Roman"/>
          <w:sz w:val="24"/>
          <w:szCs w:val="24"/>
        </w:rPr>
        <w:t>и им жилищно-коммунальных услуг.</w:t>
      </w:r>
    </w:p>
    <w:p w:rsidR="00B05589" w:rsidRDefault="00EE7BE3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5589" w:rsidRPr="00F12483">
        <w:rPr>
          <w:rFonts w:ascii="Times New Roman" w:hAnsi="Times New Roman" w:cs="Times New Roman"/>
          <w:sz w:val="24"/>
          <w:szCs w:val="24"/>
        </w:rPr>
        <w:t>. Подготовка, опубликование и размещение информации о создании и деятельности товариществ собственников жилья.</w:t>
      </w:r>
    </w:p>
    <w:p w:rsidR="005A78EB" w:rsidRPr="005A78EB" w:rsidRDefault="005A78EB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589" w:rsidRDefault="00B05589" w:rsidP="0089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Деятельность </w:t>
      </w:r>
      <w:r w:rsidR="00C161B0">
        <w:rPr>
          <w:rFonts w:ascii="Times New Roman" w:hAnsi="Times New Roman" w:cs="Times New Roman"/>
          <w:b/>
          <w:sz w:val="28"/>
          <w:szCs w:val="28"/>
        </w:rPr>
        <w:t xml:space="preserve">Консультативно-правового </w:t>
      </w:r>
      <w:r w:rsidR="00C56AE2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7566D8">
        <w:rPr>
          <w:rFonts w:ascii="Times New Roman" w:hAnsi="Times New Roman" w:cs="Times New Roman"/>
          <w:b/>
          <w:sz w:val="28"/>
          <w:szCs w:val="28"/>
        </w:rPr>
        <w:t>за девять месяцев</w:t>
      </w:r>
      <w:r w:rsidR="00EE7BE3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CA52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3AC8" w:rsidRPr="009418B1" w:rsidRDefault="00373AC8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Для эффективной работы Консультативно-правового центра осуществлен комплекс организационных и практических мероприятий.</w:t>
      </w:r>
    </w:p>
    <w:p w:rsidR="00E37EF4" w:rsidRPr="009418B1" w:rsidRDefault="007566D8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CA521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девяти месяцев</w:t>
      </w:r>
      <w:r w:rsidR="009418B1">
        <w:rPr>
          <w:rFonts w:ascii="Times New Roman" w:hAnsi="Times New Roman" w:cs="Times New Roman"/>
          <w:sz w:val="24"/>
          <w:szCs w:val="24"/>
        </w:rPr>
        <w:t xml:space="preserve"> 2015</w:t>
      </w:r>
      <w:r w:rsidR="00E37EF4" w:rsidRPr="009418B1">
        <w:rPr>
          <w:rFonts w:ascii="Times New Roman" w:hAnsi="Times New Roman" w:cs="Times New Roman"/>
          <w:sz w:val="24"/>
          <w:szCs w:val="24"/>
        </w:rPr>
        <w:t xml:space="preserve"> года проводилась активная работа со средствами массовой информации.  Так </w:t>
      </w:r>
      <w:r>
        <w:rPr>
          <w:rFonts w:ascii="Times New Roman" w:hAnsi="Times New Roman" w:cs="Times New Roman"/>
          <w:sz w:val="24"/>
          <w:szCs w:val="24"/>
        </w:rPr>
        <w:t>с начала года</w:t>
      </w:r>
      <w:r w:rsidR="0041263E" w:rsidRPr="009418B1">
        <w:rPr>
          <w:rFonts w:ascii="Times New Roman" w:hAnsi="Times New Roman" w:cs="Times New Roman"/>
          <w:sz w:val="24"/>
          <w:szCs w:val="24"/>
        </w:rPr>
        <w:t xml:space="preserve"> было </w:t>
      </w:r>
      <w:r>
        <w:rPr>
          <w:rFonts w:ascii="Times New Roman" w:hAnsi="Times New Roman" w:cs="Times New Roman"/>
          <w:sz w:val="24"/>
          <w:szCs w:val="24"/>
        </w:rPr>
        <w:t>направлено 7 материалов для рубрики</w:t>
      </w:r>
      <w:r w:rsidR="00E37EF4" w:rsidRPr="009418B1">
        <w:rPr>
          <w:rFonts w:ascii="Times New Roman" w:hAnsi="Times New Roman" w:cs="Times New Roman"/>
          <w:sz w:val="24"/>
          <w:szCs w:val="24"/>
        </w:rPr>
        <w:t xml:space="preserve"> «Коммунальный помощник» в газете «Новости Югры»</w:t>
      </w:r>
      <w:r w:rsidR="00CA5219">
        <w:rPr>
          <w:rFonts w:ascii="Times New Roman" w:hAnsi="Times New Roman" w:cs="Times New Roman"/>
          <w:sz w:val="24"/>
          <w:szCs w:val="24"/>
        </w:rPr>
        <w:t>, а так</w:t>
      </w:r>
      <w:r w:rsidR="008C3DE5">
        <w:rPr>
          <w:rFonts w:ascii="Times New Roman" w:hAnsi="Times New Roman" w:cs="Times New Roman"/>
          <w:sz w:val="24"/>
          <w:szCs w:val="24"/>
        </w:rPr>
        <w:t>же даны комментарии к 2 статьям, о программе капитального ремонта и об использовании колясочных в многоквартирных домах г</w:t>
      </w:r>
      <w:r w:rsidR="00CA5219">
        <w:rPr>
          <w:rFonts w:ascii="Times New Roman" w:hAnsi="Times New Roman" w:cs="Times New Roman"/>
          <w:sz w:val="24"/>
          <w:szCs w:val="24"/>
        </w:rPr>
        <w:t>орода</w:t>
      </w:r>
      <w:r w:rsidR="008C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E5">
        <w:rPr>
          <w:rFonts w:ascii="Times New Roman" w:hAnsi="Times New Roman" w:cs="Times New Roman"/>
          <w:sz w:val="24"/>
          <w:szCs w:val="24"/>
        </w:rPr>
        <w:t>Когалым</w:t>
      </w:r>
      <w:r w:rsidR="00CA521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37EF4" w:rsidRPr="009418B1">
        <w:rPr>
          <w:rFonts w:ascii="Times New Roman" w:hAnsi="Times New Roman" w:cs="Times New Roman"/>
          <w:sz w:val="24"/>
          <w:szCs w:val="24"/>
        </w:rPr>
        <w:t xml:space="preserve">. </w:t>
      </w:r>
      <w:r w:rsidR="007565BE" w:rsidRPr="009418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редоставлены 3</w:t>
      </w:r>
      <w:r w:rsidR="008C3DE5">
        <w:rPr>
          <w:rFonts w:ascii="Times New Roman" w:hAnsi="Times New Roman"/>
          <w:sz w:val="24"/>
          <w:szCs w:val="24"/>
        </w:rPr>
        <w:t xml:space="preserve"> комментария</w:t>
      </w:r>
      <w:r w:rsidR="00E37EF4" w:rsidRPr="009418B1">
        <w:rPr>
          <w:rFonts w:ascii="Times New Roman" w:hAnsi="Times New Roman"/>
          <w:sz w:val="24"/>
          <w:szCs w:val="24"/>
        </w:rPr>
        <w:t xml:space="preserve"> для новостных блоков «ТРК </w:t>
      </w:r>
      <w:proofErr w:type="spellStart"/>
      <w:r w:rsidR="00E37EF4" w:rsidRPr="009418B1">
        <w:rPr>
          <w:rFonts w:ascii="Times New Roman" w:hAnsi="Times New Roman"/>
          <w:sz w:val="24"/>
          <w:szCs w:val="24"/>
        </w:rPr>
        <w:t>Югория</w:t>
      </w:r>
      <w:proofErr w:type="spellEnd"/>
      <w:r w:rsidR="00E37EF4" w:rsidRPr="009418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актуальным вопросам</w:t>
      </w:r>
      <w:r w:rsidR="007565BE" w:rsidRPr="00941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743" w:rsidRPr="009418B1" w:rsidRDefault="008D5743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Принято участие в заседании Штаба по вопросам реализации тарифной политики и повышения качества услуг в сфере жилищно-коммунального комплекса Ханты-Мансийского автономного округа – Югры.</w:t>
      </w:r>
    </w:p>
    <w:p w:rsidR="004250AC" w:rsidRPr="009418B1" w:rsidRDefault="004250AC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Принято участие в общем собрании собственников помещений многоквартирного дома по адресу г. Х</w:t>
      </w:r>
      <w:r w:rsidR="008C3DE5">
        <w:rPr>
          <w:rFonts w:ascii="Times New Roman" w:hAnsi="Times New Roman" w:cs="Times New Roman"/>
          <w:sz w:val="24"/>
          <w:szCs w:val="24"/>
        </w:rPr>
        <w:t>анты-Мансийск, ул. Коминтерна, 6</w:t>
      </w:r>
      <w:r w:rsidRPr="009418B1">
        <w:rPr>
          <w:rFonts w:ascii="Times New Roman" w:hAnsi="Times New Roman" w:cs="Times New Roman"/>
          <w:sz w:val="24"/>
          <w:szCs w:val="24"/>
        </w:rPr>
        <w:t>.</w:t>
      </w:r>
    </w:p>
    <w:p w:rsidR="003B25F9" w:rsidRPr="009418B1" w:rsidRDefault="007566D8" w:rsidP="00B61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текущего года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456EFE" w:rsidRPr="009418B1">
        <w:rPr>
          <w:rFonts w:ascii="Times New Roman" w:hAnsi="Times New Roman" w:cs="Times New Roman"/>
          <w:sz w:val="24"/>
          <w:szCs w:val="24"/>
        </w:rPr>
        <w:t>в Консультацион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но-правовой центр поступило </w:t>
      </w:r>
      <w:r>
        <w:rPr>
          <w:rFonts w:ascii="Times New Roman" w:hAnsi="Times New Roman" w:cs="Times New Roman"/>
          <w:sz w:val="24"/>
          <w:szCs w:val="24"/>
        </w:rPr>
        <w:t>1277</w:t>
      </w:r>
      <w:r w:rsidR="008C3DE5">
        <w:rPr>
          <w:rFonts w:ascii="Times New Roman" w:hAnsi="Times New Roman" w:cs="Times New Roman"/>
          <w:sz w:val="24"/>
          <w:szCs w:val="24"/>
        </w:rPr>
        <w:t xml:space="preserve"> </w:t>
      </w:r>
      <w:r w:rsidR="00C56AE2" w:rsidRPr="009418B1">
        <w:rPr>
          <w:rFonts w:ascii="Times New Roman" w:hAnsi="Times New Roman" w:cs="Times New Roman"/>
          <w:sz w:val="24"/>
          <w:szCs w:val="24"/>
        </w:rPr>
        <w:t>обращени</w:t>
      </w:r>
      <w:r w:rsidR="0041263E" w:rsidRPr="009418B1">
        <w:rPr>
          <w:rFonts w:ascii="Times New Roman" w:hAnsi="Times New Roman" w:cs="Times New Roman"/>
          <w:sz w:val="24"/>
          <w:szCs w:val="24"/>
        </w:rPr>
        <w:t>й</w:t>
      </w:r>
      <w:r w:rsidR="005259D6" w:rsidRPr="009418B1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161B0" w:rsidRPr="009418B1">
        <w:rPr>
          <w:rFonts w:ascii="Times New Roman" w:hAnsi="Times New Roman" w:cs="Times New Roman"/>
          <w:sz w:val="24"/>
          <w:szCs w:val="24"/>
        </w:rPr>
        <w:t>Чаще всего жители автономного округа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 обращаются 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с вопросами </w:t>
      </w:r>
      <w:r w:rsidR="00123EFF" w:rsidRPr="009418B1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D3812" w:rsidRPr="009418B1">
        <w:rPr>
          <w:rFonts w:ascii="Times New Roman" w:hAnsi="Times New Roman" w:cs="Times New Roman"/>
          <w:sz w:val="24"/>
          <w:szCs w:val="24"/>
        </w:rPr>
        <w:t>«Горяч</w:t>
      </w:r>
      <w:proofErr w:type="gramStart"/>
      <w:r w:rsidR="00123EFF" w:rsidRPr="009418B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123EFF" w:rsidRPr="009418B1">
        <w:rPr>
          <w:rFonts w:ascii="Times New Roman" w:hAnsi="Times New Roman" w:cs="Times New Roman"/>
          <w:sz w:val="24"/>
          <w:szCs w:val="24"/>
        </w:rPr>
        <w:t>й</w:t>
      </w:r>
      <w:r w:rsidR="00FD3812" w:rsidRPr="009418B1">
        <w:rPr>
          <w:rFonts w:ascii="Times New Roman" w:hAnsi="Times New Roman" w:cs="Times New Roman"/>
          <w:sz w:val="24"/>
          <w:szCs w:val="24"/>
        </w:rPr>
        <w:t xml:space="preserve"> лини</w:t>
      </w:r>
      <w:r w:rsidR="00123EFF" w:rsidRPr="009418B1">
        <w:rPr>
          <w:rFonts w:ascii="Times New Roman" w:hAnsi="Times New Roman" w:cs="Times New Roman"/>
          <w:sz w:val="24"/>
          <w:szCs w:val="24"/>
        </w:rPr>
        <w:t>и</w:t>
      </w:r>
      <w:r w:rsidR="00373AC8" w:rsidRPr="009418B1">
        <w:rPr>
          <w:rFonts w:ascii="Times New Roman" w:hAnsi="Times New Roman" w:cs="Times New Roman"/>
          <w:sz w:val="24"/>
          <w:szCs w:val="24"/>
        </w:rPr>
        <w:t>»</w:t>
      </w:r>
      <w:r w:rsidR="00C161B0" w:rsidRPr="009418B1">
        <w:rPr>
          <w:rFonts w:ascii="Times New Roman" w:hAnsi="Times New Roman" w:cs="Times New Roman"/>
          <w:sz w:val="24"/>
          <w:szCs w:val="24"/>
        </w:rPr>
        <w:t>.</w:t>
      </w:r>
      <w:r w:rsidR="00FD3812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t>В течение первого полугодия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 операторами «Горячей линии»</w:t>
      </w:r>
      <w:r w:rsidR="00C73BE8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1232</w:t>
      </w:r>
      <w:r w:rsidR="004C1610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7A67ED">
        <w:rPr>
          <w:rFonts w:ascii="Times New Roman" w:hAnsi="Times New Roman" w:cs="Times New Roman"/>
          <w:sz w:val="24"/>
          <w:szCs w:val="24"/>
        </w:rPr>
        <w:t>звон</w:t>
      </w:r>
      <w:r w:rsidR="00C73BE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t xml:space="preserve">от </w:t>
      </w:r>
      <w:r w:rsidR="00C56AE2" w:rsidRPr="009418B1">
        <w:rPr>
          <w:rFonts w:ascii="Times New Roman" w:hAnsi="Times New Roman" w:cs="Times New Roman"/>
          <w:sz w:val="24"/>
          <w:szCs w:val="24"/>
        </w:rPr>
        <w:t>граждан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 или</w:t>
      </w:r>
      <w:r w:rsidR="00C73BE8">
        <w:rPr>
          <w:rFonts w:ascii="Times New Roman" w:hAnsi="Times New Roman" w:cs="Times New Roman"/>
          <w:sz w:val="24"/>
          <w:szCs w:val="24"/>
        </w:rPr>
        <w:t xml:space="preserve"> 96</w:t>
      </w:r>
      <w:r w:rsidR="00CA5219">
        <w:rPr>
          <w:rFonts w:ascii="Times New Roman" w:hAnsi="Times New Roman" w:cs="Times New Roman"/>
          <w:sz w:val="24"/>
          <w:szCs w:val="24"/>
        </w:rPr>
        <w:t xml:space="preserve"> </w:t>
      </w:r>
      <w:r w:rsidR="00456EFE" w:rsidRPr="009418B1">
        <w:rPr>
          <w:rFonts w:ascii="Times New Roman" w:hAnsi="Times New Roman" w:cs="Times New Roman"/>
          <w:sz w:val="24"/>
          <w:szCs w:val="24"/>
        </w:rPr>
        <w:t>%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 от о</w:t>
      </w:r>
      <w:r w:rsidR="00C73BE8">
        <w:rPr>
          <w:rFonts w:ascii="Times New Roman" w:hAnsi="Times New Roman" w:cs="Times New Roman"/>
          <w:sz w:val="24"/>
          <w:szCs w:val="24"/>
        </w:rPr>
        <w:t>бщего числа поступивших обращений граждан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C8" w:rsidRPr="00373AC8" w:rsidRDefault="00EB190B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Направили вопросы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 на электронн</w:t>
      </w:r>
      <w:r w:rsidR="003B25F9" w:rsidRPr="009418B1">
        <w:rPr>
          <w:rFonts w:ascii="Times New Roman" w:hAnsi="Times New Roman" w:cs="Times New Roman"/>
          <w:sz w:val="24"/>
          <w:szCs w:val="24"/>
        </w:rPr>
        <w:t>ый ящик «</w:t>
      </w:r>
      <w:proofErr w:type="spellStart"/>
      <w:r w:rsidR="003B25F9" w:rsidRPr="009418B1">
        <w:rPr>
          <w:rFonts w:ascii="Times New Roman" w:hAnsi="Times New Roman" w:cs="Times New Roman"/>
          <w:sz w:val="24"/>
          <w:szCs w:val="24"/>
        </w:rPr>
        <w:t>Vopros-jkh</w:t>
      </w:r>
      <w:proofErr w:type="spellEnd"/>
      <w:r w:rsidR="003B25F9" w:rsidRPr="009418B1">
        <w:rPr>
          <w:rFonts w:ascii="Times New Roman" w:hAnsi="Times New Roman" w:cs="Times New Roman"/>
          <w:sz w:val="24"/>
          <w:szCs w:val="24"/>
        </w:rPr>
        <w:t xml:space="preserve">» </w:t>
      </w:r>
      <w:r w:rsidR="007566D8">
        <w:rPr>
          <w:rFonts w:ascii="Times New Roman" w:hAnsi="Times New Roman" w:cs="Times New Roman"/>
          <w:sz w:val="24"/>
          <w:szCs w:val="24"/>
        </w:rPr>
        <w:t>14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 граждан. П</w:t>
      </w:r>
      <w:r w:rsidR="00456EFE" w:rsidRPr="009418B1">
        <w:rPr>
          <w:rFonts w:ascii="Times New Roman" w:hAnsi="Times New Roman" w:cs="Times New Roman"/>
          <w:sz w:val="24"/>
          <w:szCs w:val="24"/>
        </w:rPr>
        <w:t>олучили консультации, позвонив непосредственно в Кон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сультационно-правовой центр </w:t>
      </w:r>
      <w:r w:rsidR="007566D8">
        <w:rPr>
          <w:rFonts w:ascii="Times New Roman" w:hAnsi="Times New Roman" w:cs="Times New Roman"/>
          <w:sz w:val="24"/>
          <w:szCs w:val="24"/>
        </w:rPr>
        <w:t>12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 граждан. Н</w:t>
      </w:r>
      <w:r w:rsidR="00456EFE" w:rsidRPr="009418B1">
        <w:rPr>
          <w:rFonts w:ascii="Times New Roman" w:hAnsi="Times New Roman" w:cs="Times New Roman"/>
          <w:sz w:val="24"/>
          <w:szCs w:val="24"/>
        </w:rPr>
        <w:t>а личном приеме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 проконсультировано </w:t>
      </w:r>
      <w:r w:rsidR="00497AF4">
        <w:rPr>
          <w:rFonts w:ascii="Times New Roman" w:hAnsi="Times New Roman" w:cs="Times New Roman"/>
          <w:sz w:val="24"/>
          <w:szCs w:val="24"/>
        </w:rPr>
        <w:t>2</w:t>
      </w:r>
      <w:r w:rsidR="00DE56FA" w:rsidRPr="009418B1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CA5219">
        <w:rPr>
          <w:rFonts w:ascii="Times New Roman" w:hAnsi="Times New Roman" w:cs="Times New Roman"/>
          <w:sz w:val="24"/>
          <w:szCs w:val="24"/>
        </w:rPr>
        <w:t>я</w:t>
      </w:r>
      <w:r w:rsidR="00456EFE" w:rsidRPr="009418B1">
        <w:rPr>
          <w:rFonts w:ascii="Times New Roman" w:hAnsi="Times New Roman" w:cs="Times New Roman"/>
          <w:sz w:val="24"/>
          <w:szCs w:val="24"/>
        </w:rPr>
        <w:t>.</w:t>
      </w:r>
      <w:r w:rsidR="00DE56FA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7566D8">
        <w:rPr>
          <w:rFonts w:ascii="Times New Roman" w:hAnsi="Times New Roman" w:cs="Times New Roman"/>
          <w:sz w:val="24"/>
          <w:szCs w:val="24"/>
        </w:rPr>
        <w:t>С начала</w:t>
      </w:r>
      <w:r w:rsidR="00497AF4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6E3F26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8D5743" w:rsidRPr="009418B1">
        <w:rPr>
          <w:rFonts w:ascii="Times New Roman" w:hAnsi="Times New Roman" w:cs="Times New Roman"/>
          <w:sz w:val="24"/>
          <w:szCs w:val="24"/>
        </w:rPr>
        <w:t>сервисом на сайте «Твой порт</w:t>
      </w:r>
      <w:r w:rsidR="007566D8">
        <w:rPr>
          <w:rFonts w:ascii="Times New Roman" w:hAnsi="Times New Roman" w:cs="Times New Roman"/>
          <w:sz w:val="24"/>
          <w:szCs w:val="24"/>
        </w:rPr>
        <w:t>ал для жизни» воспользовались 17</w:t>
      </w:r>
      <w:r w:rsidR="006E3F26" w:rsidRPr="009418B1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456EFE" w:rsidRDefault="0067271C" w:rsidP="00B0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958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3812" w:rsidRDefault="00552250" w:rsidP="00552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354B" w:rsidRDefault="009722C8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A2049">
        <w:rPr>
          <w:rFonts w:ascii="Times New Roman" w:hAnsi="Times New Roman" w:cs="Times New Roman"/>
          <w:sz w:val="24"/>
          <w:szCs w:val="24"/>
        </w:rPr>
        <w:t>ольше всего вопросов по предоставлению жилищно-коммунальных услуг поступило из городов Сургут</w:t>
      </w:r>
      <w:r w:rsidR="00CA5219">
        <w:rPr>
          <w:rFonts w:ascii="Times New Roman" w:hAnsi="Times New Roman" w:cs="Times New Roman"/>
          <w:sz w:val="24"/>
          <w:szCs w:val="24"/>
        </w:rPr>
        <w:t>а</w:t>
      </w:r>
      <w:r w:rsidR="005A2049">
        <w:rPr>
          <w:rFonts w:ascii="Times New Roman" w:hAnsi="Times New Roman" w:cs="Times New Roman"/>
          <w:sz w:val="24"/>
          <w:szCs w:val="24"/>
        </w:rPr>
        <w:t>, Ханты-Мансийск</w:t>
      </w:r>
      <w:r w:rsidR="00CA5219">
        <w:rPr>
          <w:rFonts w:ascii="Times New Roman" w:hAnsi="Times New Roman" w:cs="Times New Roman"/>
          <w:sz w:val="24"/>
          <w:szCs w:val="24"/>
        </w:rPr>
        <w:t>а</w:t>
      </w:r>
      <w:r w:rsidR="005A2049">
        <w:rPr>
          <w:rFonts w:ascii="Times New Roman" w:hAnsi="Times New Roman" w:cs="Times New Roman"/>
          <w:sz w:val="24"/>
          <w:szCs w:val="24"/>
        </w:rPr>
        <w:t>, Нижневартовск</w:t>
      </w:r>
      <w:r w:rsidR="00CA5219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CA521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CA5219">
        <w:rPr>
          <w:rFonts w:ascii="Times New Roman" w:hAnsi="Times New Roman" w:cs="Times New Roman"/>
          <w:sz w:val="24"/>
          <w:szCs w:val="24"/>
        </w:rPr>
        <w:t xml:space="preserve"> </w:t>
      </w:r>
      <w:r w:rsidR="005A2049">
        <w:rPr>
          <w:rFonts w:ascii="Times New Roman" w:hAnsi="Times New Roman" w:cs="Times New Roman"/>
          <w:sz w:val="24"/>
          <w:szCs w:val="24"/>
        </w:rPr>
        <w:t xml:space="preserve"> и из </w:t>
      </w:r>
      <w:proofErr w:type="spellStart"/>
      <w:r w:rsidR="005A2049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5A204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5354B" w:rsidRPr="00F12483" w:rsidRDefault="00C5354B" w:rsidP="00F03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8EB" w:rsidRDefault="00C5354B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57775" cy="37433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019B" w:rsidRPr="00A80275" w:rsidRDefault="00D56ED8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275">
        <w:rPr>
          <w:rFonts w:ascii="Times New Roman" w:hAnsi="Times New Roman" w:cs="Times New Roman"/>
          <w:sz w:val="24"/>
          <w:szCs w:val="24"/>
        </w:rPr>
        <w:lastRenderedPageBreak/>
        <w:t>Такое распределение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</w:t>
      </w:r>
      <w:r w:rsidR="00A80275" w:rsidRPr="00A80275">
        <w:rPr>
          <w:rFonts w:ascii="Times New Roman" w:hAnsi="Times New Roman" w:cs="Times New Roman"/>
          <w:sz w:val="24"/>
          <w:szCs w:val="24"/>
        </w:rPr>
        <w:t>связано с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тем, что на </w:t>
      </w:r>
      <w:r w:rsidR="00A80275" w:rsidRPr="00A80275">
        <w:rPr>
          <w:rFonts w:ascii="Times New Roman" w:hAnsi="Times New Roman" w:cs="Times New Roman"/>
          <w:sz w:val="24"/>
          <w:szCs w:val="24"/>
        </w:rPr>
        <w:t>данных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территориях проживает </w:t>
      </w:r>
      <w:r w:rsidR="00A80275" w:rsidRPr="00A80275">
        <w:rPr>
          <w:rFonts w:ascii="Times New Roman" w:hAnsi="Times New Roman" w:cs="Times New Roman"/>
          <w:sz w:val="24"/>
          <w:szCs w:val="24"/>
        </w:rPr>
        <w:t>большое число жителей автономного округа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, </w:t>
      </w:r>
      <w:r w:rsidR="00A80275" w:rsidRPr="00A80275">
        <w:rPr>
          <w:rFonts w:ascii="Times New Roman" w:hAnsi="Times New Roman" w:cs="Times New Roman"/>
          <w:sz w:val="24"/>
          <w:szCs w:val="24"/>
        </w:rPr>
        <w:t>находятся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наиболее крупные города </w:t>
      </w:r>
      <w:r w:rsidR="00A80275" w:rsidRPr="00A80275">
        <w:rPr>
          <w:rFonts w:ascii="Times New Roman" w:hAnsi="Times New Roman" w:cs="Times New Roman"/>
          <w:sz w:val="24"/>
          <w:szCs w:val="24"/>
        </w:rPr>
        <w:t xml:space="preserve">с развитой жилищно-коммунальной инфраструктурой, </w:t>
      </w:r>
      <w:r w:rsidR="0042019B" w:rsidRPr="00A80275">
        <w:rPr>
          <w:rFonts w:ascii="Times New Roman" w:hAnsi="Times New Roman" w:cs="Times New Roman"/>
          <w:sz w:val="24"/>
          <w:szCs w:val="24"/>
        </w:rPr>
        <w:t>п</w:t>
      </w:r>
      <w:r w:rsidR="00A80275" w:rsidRPr="00A80275">
        <w:rPr>
          <w:rFonts w:ascii="Times New Roman" w:hAnsi="Times New Roman" w:cs="Times New Roman"/>
          <w:sz w:val="24"/>
          <w:szCs w:val="24"/>
        </w:rPr>
        <w:t>редоставлением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широ</w:t>
      </w:r>
      <w:r w:rsidR="00A80275" w:rsidRPr="00A80275">
        <w:rPr>
          <w:rFonts w:ascii="Times New Roman" w:hAnsi="Times New Roman" w:cs="Times New Roman"/>
          <w:sz w:val="24"/>
          <w:szCs w:val="24"/>
        </w:rPr>
        <w:t>кого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A80275" w:rsidRPr="00A80275">
        <w:rPr>
          <w:rFonts w:ascii="Times New Roman" w:hAnsi="Times New Roman" w:cs="Times New Roman"/>
          <w:sz w:val="24"/>
          <w:szCs w:val="24"/>
        </w:rPr>
        <w:t>а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жилищно-</w:t>
      </w:r>
      <w:r w:rsidR="00A80275" w:rsidRPr="00A80275">
        <w:rPr>
          <w:rFonts w:ascii="Times New Roman" w:hAnsi="Times New Roman" w:cs="Times New Roman"/>
          <w:sz w:val="24"/>
          <w:szCs w:val="24"/>
        </w:rPr>
        <w:t>коммунальных услуг, проведением экспериментов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по внедрению нов</w:t>
      </w:r>
      <w:r w:rsidR="0042019B" w:rsidRPr="00A80275">
        <w:rPr>
          <w:rFonts w:ascii="Times New Roman" w:hAnsi="Times New Roman" w:cs="Times New Roman"/>
          <w:sz w:val="24"/>
          <w:szCs w:val="24"/>
        </w:rPr>
        <w:t>ых энергосберегающих технологий и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новых форм </w:t>
      </w:r>
      <w:r w:rsidR="00A80275" w:rsidRPr="00A80275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817D1F" w:rsidRPr="00A80275">
        <w:rPr>
          <w:rFonts w:ascii="Times New Roman" w:hAnsi="Times New Roman" w:cs="Times New Roman"/>
          <w:sz w:val="24"/>
          <w:szCs w:val="24"/>
        </w:rPr>
        <w:t>упр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A80275" w:rsidRPr="00A80275">
        <w:rPr>
          <w:rFonts w:ascii="Times New Roman" w:hAnsi="Times New Roman" w:cs="Times New Roman"/>
          <w:sz w:val="24"/>
          <w:szCs w:val="24"/>
        </w:rPr>
        <w:t>и содержания многоквартирных домов</w:t>
      </w:r>
      <w:r w:rsidR="0042019B" w:rsidRPr="00A80275">
        <w:rPr>
          <w:rFonts w:ascii="Times New Roman" w:hAnsi="Times New Roman" w:cs="Times New Roman"/>
          <w:sz w:val="24"/>
          <w:szCs w:val="24"/>
        </w:rPr>
        <w:t>.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заданные гражданами специалистам Консультационно-правового центра</w:t>
      </w:r>
      <w:r w:rsidR="00A72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70D0A">
        <w:rPr>
          <w:rFonts w:ascii="Times New Roman" w:hAnsi="Times New Roman" w:cs="Times New Roman"/>
          <w:sz w:val="24"/>
          <w:szCs w:val="24"/>
        </w:rPr>
        <w:t>большей степени касались оплаты за коммунальные услуги и работы. Это в первую очередь вызвано действием программы капитального ремонта и вступлением в полную силу Постановления Правительства РФ №</w:t>
      </w:r>
      <w:r w:rsidR="00CA5219">
        <w:rPr>
          <w:rFonts w:ascii="Times New Roman" w:hAnsi="Times New Roman" w:cs="Times New Roman"/>
          <w:sz w:val="24"/>
          <w:szCs w:val="24"/>
        </w:rPr>
        <w:t xml:space="preserve"> </w:t>
      </w:r>
      <w:r w:rsidR="00870D0A">
        <w:rPr>
          <w:rFonts w:ascii="Times New Roman" w:hAnsi="Times New Roman" w:cs="Times New Roman"/>
          <w:sz w:val="24"/>
          <w:szCs w:val="24"/>
        </w:rPr>
        <w:t>354 от 06.05.2011 «О предоставлении коммунальных услуг собственникам и пользователям помещений в многоквартирных домах и жилых домов»</w:t>
      </w:r>
      <w:r w:rsidR="00E00F48">
        <w:rPr>
          <w:rFonts w:ascii="Times New Roman" w:hAnsi="Times New Roman" w:cs="Times New Roman"/>
          <w:sz w:val="24"/>
          <w:szCs w:val="24"/>
        </w:rPr>
        <w:t xml:space="preserve"> в части отопления</w:t>
      </w:r>
      <w:r w:rsidR="00EF2FC6">
        <w:rPr>
          <w:rFonts w:ascii="Times New Roman" w:hAnsi="Times New Roman" w:cs="Times New Roman"/>
          <w:sz w:val="24"/>
          <w:szCs w:val="24"/>
        </w:rPr>
        <w:t>.</w:t>
      </w:r>
      <w:r w:rsidR="00D7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BF" w:rsidRDefault="00A727CB" w:rsidP="0087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Вопросы граждан, заданные о качестве</w:t>
      </w:r>
      <w:r w:rsidR="00C11DD0">
        <w:rPr>
          <w:rFonts w:ascii="Times New Roman" w:hAnsi="Times New Roman" w:cs="Times New Roman"/>
          <w:sz w:val="24"/>
          <w:szCs w:val="24"/>
        </w:rPr>
        <w:t xml:space="preserve"> предоставления жилищно-коммунальных услуг и работ, в первую очередь касались </w:t>
      </w:r>
      <w:r w:rsidR="008115BF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11DD0">
        <w:rPr>
          <w:rFonts w:ascii="Times New Roman" w:hAnsi="Times New Roman" w:cs="Times New Roman"/>
          <w:sz w:val="24"/>
          <w:szCs w:val="24"/>
        </w:rPr>
        <w:t>текущего ремонта и содержания о</w:t>
      </w:r>
      <w:r w:rsidR="00872DC4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C11DD0">
        <w:rPr>
          <w:rFonts w:ascii="Times New Roman" w:hAnsi="Times New Roman" w:cs="Times New Roman"/>
          <w:sz w:val="24"/>
          <w:szCs w:val="24"/>
        </w:rPr>
        <w:t xml:space="preserve">, что связано в первую очередь с тем, что управляющие компании не </w:t>
      </w:r>
      <w:r w:rsidR="00872DC4">
        <w:rPr>
          <w:rFonts w:ascii="Times New Roman" w:hAnsi="Times New Roman" w:cs="Times New Roman"/>
          <w:sz w:val="24"/>
          <w:szCs w:val="24"/>
        </w:rPr>
        <w:t xml:space="preserve">всегда вовремя и в надлежащем виде </w:t>
      </w:r>
      <w:r w:rsidR="00C11DD0">
        <w:rPr>
          <w:rFonts w:ascii="Times New Roman" w:hAnsi="Times New Roman" w:cs="Times New Roman"/>
          <w:sz w:val="24"/>
          <w:szCs w:val="24"/>
        </w:rPr>
        <w:t>выполняют взятые на себя обязательства по содержанию о</w:t>
      </w:r>
      <w:r w:rsidR="00872DC4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E00F48">
        <w:rPr>
          <w:rFonts w:ascii="Times New Roman" w:hAnsi="Times New Roman" w:cs="Times New Roman"/>
          <w:sz w:val="24"/>
          <w:szCs w:val="24"/>
        </w:rPr>
        <w:t xml:space="preserve"> или граждане </w:t>
      </w:r>
      <w:r w:rsidR="007A67ED">
        <w:rPr>
          <w:rFonts w:ascii="Times New Roman" w:hAnsi="Times New Roman" w:cs="Times New Roman"/>
          <w:sz w:val="24"/>
          <w:szCs w:val="24"/>
        </w:rPr>
        <w:t>не всегда ознакомлены с условиями договора обслуживания</w:t>
      </w:r>
      <w:proofErr w:type="gramEnd"/>
      <w:r w:rsidR="00E00F48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8F2BD2">
        <w:rPr>
          <w:rFonts w:ascii="Times New Roman" w:hAnsi="Times New Roman" w:cs="Times New Roman"/>
          <w:sz w:val="24"/>
          <w:szCs w:val="24"/>
        </w:rPr>
        <w:t>.</w:t>
      </w:r>
      <w:r w:rsidR="00C1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48" w:rsidRDefault="00E00F48" w:rsidP="0087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A67ED">
        <w:rPr>
          <w:rFonts w:ascii="Times New Roman" w:hAnsi="Times New Roman" w:cs="Times New Roman"/>
          <w:sz w:val="24"/>
          <w:szCs w:val="24"/>
        </w:rPr>
        <w:t>течени</w:t>
      </w:r>
      <w:r w:rsidR="00CA5219">
        <w:rPr>
          <w:rFonts w:ascii="Times New Roman" w:hAnsi="Times New Roman" w:cs="Times New Roman"/>
          <w:sz w:val="24"/>
          <w:szCs w:val="24"/>
        </w:rPr>
        <w:t>е</w:t>
      </w:r>
      <w:r w:rsidR="007A67ED">
        <w:rPr>
          <w:rFonts w:ascii="Times New Roman" w:hAnsi="Times New Roman" w:cs="Times New Roman"/>
          <w:sz w:val="24"/>
          <w:szCs w:val="24"/>
        </w:rPr>
        <w:t xml:space="preserve"> первых девяти месяцев</w:t>
      </w:r>
      <w:r>
        <w:rPr>
          <w:rFonts w:ascii="Times New Roman" w:hAnsi="Times New Roman" w:cs="Times New Roman"/>
          <w:sz w:val="24"/>
          <w:szCs w:val="24"/>
        </w:rPr>
        <w:t xml:space="preserve"> 2015 года значительн</w:t>
      </w:r>
      <w:r w:rsidR="0080663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долю </w:t>
      </w:r>
      <w:r w:rsidR="007A67ED">
        <w:rPr>
          <w:rFonts w:ascii="Times New Roman" w:hAnsi="Times New Roman" w:cs="Times New Roman"/>
          <w:sz w:val="24"/>
          <w:szCs w:val="24"/>
        </w:rPr>
        <w:t xml:space="preserve">вопросов о порядке расчета платы </w:t>
      </w:r>
      <w:r w:rsidR="00806634">
        <w:rPr>
          <w:rFonts w:ascii="Times New Roman" w:hAnsi="Times New Roman" w:cs="Times New Roman"/>
          <w:sz w:val="24"/>
          <w:szCs w:val="24"/>
        </w:rPr>
        <w:t>составили</w:t>
      </w:r>
      <w:r>
        <w:rPr>
          <w:rFonts w:ascii="Times New Roman" w:hAnsi="Times New Roman" w:cs="Times New Roman"/>
          <w:sz w:val="24"/>
          <w:szCs w:val="24"/>
        </w:rPr>
        <w:t xml:space="preserve"> вопросы по </w:t>
      </w:r>
      <w:r w:rsidR="007A67ED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за капитальный ремонт многоквартирных домов. Это связано с тем, что на территории автономного округа с сентября 2014 года начала действовать программа капитального ремонта. Всем собственникам помещений в многоквартирных домах начали производиться начисления взносов за капитальный ремонт, который будет производит</w:t>
      </w:r>
      <w:r w:rsidR="0080663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согласно очереди многоквартирного дома в программе. Вопросы граждан о капитальном ремонте касались законности д</w:t>
      </w:r>
      <w:r w:rsidR="00806634">
        <w:rPr>
          <w:rFonts w:ascii="Times New Roman" w:hAnsi="Times New Roman" w:cs="Times New Roman"/>
          <w:sz w:val="24"/>
          <w:szCs w:val="24"/>
        </w:rPr>
        <w:t>анных начислений, а так</w:t>
      </w:r>
      <w:r>
        <w:rPr>
          <w:rFonts w:ascii="Times New Roman" w:hAnsi="Times New Roman" w:cs="Times New Roman"/>
          <w:sz w:val="24"/>
          <w:szCs w:val="24"/>
        </w:rPr>
        <w:t>же возможности получения льгот и компенсаций по оплате взносов на капитальный ремонт.</w:t>
      </w:r>
      <w:r w:rsidR="007A67ED">
        <w:rPr>
          <w:rFonts w:ascii="Times New Roman" w:hAnsi="Times New Roman" w:cs="Times New Roman"/>
          <w:sz w:val="24"/>
          <w:szCs w:val="24"/>
        </w:rPr>
        <w:t xml:space="preserve"> Гражданам давались разъяснения о том, что программа продолжает действовать. Подробную информацию о своем доме граждане могут найти на сайте Югорского Фонда Капитального Ремонта.</w:t>
      </w:r>
    </w:p>
    <w:p w:rsidR="00E00F48" w:rsidRDefault="00E00F48" w:rsidP="0087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оплате за отопление были вызваны у граждан в связи с тем, что с сентября 2014 году на территории автономного округа вступило в части отопления Постановление Правительства РФ №3</w:t>
      </w:r>
      <w:r w:rsidR="0080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 от 6 мая 2012 г. «О предоставлении коммунальных услуг собственникам и пользователям помещений в многоквартирных домах и жилых домов».</w:t>
      </w:r>
      <w:r w:rsidR="007A67ED">
        <w:rPr>
          <w:rFonts w:ascii="Times New Roman" w:hAnsi="Times New Roman" w:cs="Times New Roman"/>
          <w:sz w:val="24"/>
          <w:szCs w:val="24"/>
        </w:rPr>
        <w:t xml:space="preserve"> Теперь при расчете платы за отопление учитывается наличие и состояние общедомового и индивидуальных приборов учета. Гражданам рекомендуется внимательно отнестись к состоянию индивидуального </w:t>
      </w:r>
      <w:r w:rsidR="00806634">
        <w:rPr>
          <w:rFonts w:ascii="Times New Roman" w:hAnsi="Times New Roman" w:cs="Times New Roman"/>
          <w:sz w:val="24"/>
          <w:szCs w:val="24"/>
        </w:rPr>
        <w:t>прибора учета в квартире, а так</w:t>
      </w:r>
      <w:r w:rsidR="007A67ED">
        <w:rPr>
          <w:rFonts w:ascii="Times New Roman" w:hAnsi="Times New Roman" w:cs="Times New Roman"/>
          <w:sz w:val="24"/>
          <w:szCs w:val="24"/>
        </w:rPr>
        <w:t xml:space="preserve">же уточнить в управляющей компании укомплектованность дома приборами учета. </w:t>
      </w:r>
    </w:p>
    <w:p w:rsidR="007B0FCF" w:rsidRPr="00F57498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A97" w:rsidRDefault="007A67ED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19775" cy="4076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6184" w:rsidRDefault="0013270B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6184" w:rsidRDefault="007922F6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676900" cy="42005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2FC" w:rsidRPr="005A78EB" w:rsidRDefault="00A53CF7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57875" cy="3943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3AC8" w:rsidRPr="00F12483" w:rsidRDefault="00B61991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84D8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0286">
        <w:rPr>
          <w:rFonts w:ascii="Times New Roman" w:hAnsi="Times New Roman" w:cs="Times New Roman"/>
          <w:sz w:val="24"/>
          <w:szCs w:val="24"/>
        </w:rPr>
        <w:t>девяти месяцев</w:t>
      </w:r>
      <w:r w:rsidR="00E00F48">
        <w:rPr>
          <w:rFonts w:ascii="Times New Roman" w:hAnsi="Times New Roman" w:cs="Times New Roman"/>
          <w:sz w:val="24"/>
          <w:szCs w:val="24"/>
        </w:rPr>
        <w:t xml:space="preserve"> 2015</w:t>
      </w:r>
      <w:r w:rsidR="00C8249B">
        <w:rPr>
          <w:rFonts w:ascii="Times New Roman" w:hAnsi="Times New Roman" w:cs="Times New Roman"/>
          <w:sz w:val="24"/>
          <w:szCs w:val="24"/>
        </w:rPr>
        <w:t xml:space="preserve"> года в Консу</w:t>
      </w:r>
      <w:r w:rsidR="00340286">
        <w:rPr>
          <w:rFonts w:ascii="Times New Roman" w:hAnsi="Times New Roman" w:cs="Times New Roman"/>
          <w:sz w:val="24"/>
          <w:szCs w:val="24"/>
        </w:rPr>
        <w:t>льтационный центр поступило 1277</w:t>
      </w:r>
      <w:r w:rsidR="00684D87">
        <w:rPr>
          <w:rFonts w:ascii="Times New Roman" w:hAnsi="Times New Roman" w:cs="Times New Roman"/>
          <w:sz w:val="24"/>
          <w:szCs w:val="24"/>
        </w:rPr>
        <w:t xml:space="preserve"> обращений граждан</w:t>
      </w:r>
      <w:r w:rsidR="00C82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286">
        <w:rPr>
          <w:rFonts w:ascii="Times New Roman" w:hAnsi="Times New Roman" w:cs="Times New Roman"/>
          <w:sz w:val="24"/>
          <w:szCs w:val="24"/>
        </w:rPr>
        <w:t>Семь</w:t>
      </w:r>
      <w:r w:rsidR="00684D8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40286">
        <w:rPr>
          <w:rFonts w:ascii="Times New Roman" w:hAnsi="Times New Roman" w:cs="Times New Roman"/>
          <w:sz w:val="24"/>
          <w:szCs w:val="24"/>
        </w:rPr>
        <w:t>ов</w:t>
      </w:r>
      <w:r w:rsidR="00684D87">
        <w:rPr>
          <w:rFonts w:ascii="Times New Roman" w:hAnsi="Times New Roman" w:cs="Times New Roman"/>
          <w:sz w:val="24"/>
          <w:szCs w:val="24"/>
        </w:rPr>
        <w:t xml:space="preserve"> был</w:t>
      </w:r>
      <w:r w:rsidR="00340286">
        <w:rPr>
          <w:rFonts w:ascii="Times New Roman" w:hAnsi="Times New Roman" w:cs="Times New Roman"/>
          <w:sz w:val="24"/>
          <w:szCs w:val="24"/>
        </w:rPr>
        <w:t>о направлено</w:t>
      </w:r>
      <w:r w:rsidR="00D7035A">
        <w:rPr>
          <w:rFonts w:ascii="Times New Roman" w:hAnsi="Times New Roman" w:cs="Times New Roman"/>
          <w:sz w:val="24"/>
          <w:szCs w:val="24"/>
        </w:rPr>
        <w:t xml:space="preserve"> для дополнительной работы в муниципальные образования автономного округа</w:t>
      </w:r>
      <w:r w:rsidR="00684D87">
        <w:rPr>
          <w:rFonts w:ascii="Times New Roman" w:hAnsi="Times New Roman" w:cs="Times New Roman"/>
          <w:sz w:val="24"/>
          <w:szCs w:val="24"/>
        </w:rPr>
        <w:t>.</w:t>
      </w:r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F6786A">
        <w:rPr>
          <w:rFonts w:ascii="Times New Roman" w:hAnsi="Times New Roman" w:cs="Times New Roman"/>
          <w:sz w:val="24"/>
          <w:szCs w:val="24"/>
        </w:rPr>
        <w:t>, поступивших обращений, показал</w:t>
      </w:r>
      <w:r>
        <w:rPr>
          <w:rFonts w:ascii="Times New Roman" w:hAnsi="Times New Roman" w:cs="Times New Roman"/>
          <w:sz w:val="24"/>
          <w:szCs w:val="24"/>
        </w:rPr>
        <w:t xml:space="preserve">, что граждане не до конца осведомлены о правилах и порядке предоставления и оплаты за </w:t>
      </w:r>
      <w:r w:rsidR="00F6786A">
        <w:rPr>
          <w:rFonts w:ascii="Times New Roman" w:hAnsi="Times New Roman" w:cs="Times New Roman"/>
          <w:sz w:val="24"/>
          <w:szCs w:val="24"/>
        </w:rPr>
        <w:t>жилищно-</w:t>
      </w:r>
      <w:r>
        <w:rPr>
          <w:rFonts w:ascii="Times New Roman" w:hAnsi="Times New Roman" w:cs="Times New Roman"/>
          <w:sz w:val="24"/>
          <w:szCs w:val="24"/>
        </w:rPr>
        <w:t>комм</w:t>
      </w:r>
      <w:r w:rsidR="00806634">
        <w:rPr>
          <w:rFonts w:ascii="Times New Roman" w:hAnsi="Times New Roman" w:cs="Times New Roman"/>
          <w:sz w:val="24"/>
          <w:szCs w:val="24"/>
        </w:rPr>
        <w:t>унальные услуги и работы, а так</w:t>
      </w:r>
      <w:r>
        <w:rPr>
          <w:rFonts w:ascii="Times New Roman" w:hAnsi="Times New Roman" w:cs="Times New Roman"/>
          <w:sz w:val="24"/>
          <w:szCs w:val="24"/>
        </w:rPr>
        <w:t xml:space="preserve">же о своих правах и способах их законной защиты. </w:t>
      </w:r>
      <w:proofErr w:type="gramStart"/>
      <w:r w:rsidR="00F678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это влияет тот факт, что не все управляющие компании выполняют в полной мере взятые на себя обязательства по содержанию </w:t>
      </w:r>
      <w:r w:rsidR="00F6786A">
        <w:rPr>
          <w:rFonts w:ascii="Times New Roman" w:hAnsi="Times New Roman" w:cs="Times New Roman"/>
          <w:sz w:val="24"/>
          <w:szCs w:val="24"/>
        </w:rPr>
        <w:t xml:space="preserve">и ремонту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="00F6786A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z w:val="24"/>
          <w:szCs w:val="24"/>
        </w:rPr>
        <w:t>, предоставляют в неполном объёме или не предоставляют вообще потребителям информацию о состоянии многоквартирного дома, финансовых средствах на счету дома, а так же информацию о проводимых работах.</w:t>
      </w:r>
      <w:proofErr w:type="gramEnd"/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434" w:rsidRPr="00267590" w:rsidRDefault="00894434" w:rsidP="00894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90">
        <w:rPr>
          <w:rFonts w:ascii="Times New Roman" w:hAnsi="Times New Roman" w:cs="Times New Roman"/>
          <w:b/>
          <w:sz w:val="24"/>
          <w:szCs w:val="24"/>
        </w:rPr>
        <w:t>С целью обеспечения задач, возложенных  на Консул</w:t>
      </w:r>
      <w:r w:rsidR="00684D87">
        <w:rPr>
          <w:rFonts w:ascii="Times New Roman" w:hAnsi="Times New Roman" w:cs="Times New Roman"/>
          <w:b/>
          <w:sz w:val="24"/>
          <w:szCs w:val="24"/>
        </w:rPr>
        <w:t xml:space="preserve">ьтационно-правовой центр, </w:t>
      </w:r>
      <w:bookmarkStart w:id="0" w:name="_GoBack"/>
      <w:bookmarkEnd w:id="0"/>
      <w:r w:rsidRPr="00267590">
        <w:rPr>
          <w:rFonts w:ascii="Times New Roman" w:hAnsi="Times New Roman" w:cs="Times New Roman"/>
          <w:b/>
          <w:sz w:val="24"/>
          <w:szCs w:val="24"/>
        </w:rPr>
        <w:t xml:space="preserve">необходимо реализовать комплекс мероприятий. </w:t>
      </w:r>
      <w:r w:rsidR="0094533F" w:rsidRPr="00267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DF3" w:rsidRDefault="00894434" w:rsidP="00894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434">
        <w:rPr>
          <w:rFonts w:ascii="Times New Roman" w:hAnsi="Times New Roman" w:cs="Times New Roman"/>
          <w:sz w:val="24"/>
          <w:szCs w:val="24"/>
        </w:rPr>
        <w:t>Прежде всего,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F3">
        <w:rPr>
          <w:rFonts w:ascii="Times New Roman" w:hAnsi="Times New Roman" w:cs="Times New Roman"/>
          <w:sz w:val="24"/>
          <w:szCs w:val="24"/>
        </w:rPr>
        <w:t>продолжить работу по повышению</w:t>
      </w:r>
      <w:r w:rsidR="0094533F">
        <w:rPr>
          <w:rFonts w:ascii="Times New Roman" w:hAnsi="Times New Roman" w:cs="Times New Roman"/>
          <w:sz w:val="24"/>
          <w:szCs w:val="24"/>
        </w:rPr>
        <w:t xml:space="preserve"> качества и доступности предоставления н</w:t>
      </w:r>
      <w:r w:rsidR="00173DF3">
        <w:rPr>
          <w:rFonts w:ascii="Times New Roman" w:hAnsi="Times New Roman" w:cs="Times New Roman"/>
          <w:sz w:val="24"/>
          <w:szCs w:val="24"/>
        </w:rPr>
        <w:t xml:space="preserve">аселению консультационных услуг. </w:t>
      </w:r>
      <w:r w:rsidR="0094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взаимодействие с электронными и печатными средствами массовой информации по повышению</w:t>
      </w:r>
      <w:r w:rsidR="0094533F">
        <w:rPr>
          <w:rFonts w:ascii="Times New Roman" w:hAnsi="Times New Roman" w:cs="Times New Roman"/>
          <w:sz w:val="24"/>
          <w:szCs w:val="24"/>
        </w:rPr>
        <w:t xml:space="preserve"> правовой гра</w:t>
      </w:r>
      <w:r>
        <w:rPr>
          <w:rFonts w:ascii="Times New Roman" w:hAnsi="Times New Roman" w:cs="Times New Roman"/>
          <w:sz w:val="24"/>
          <w:szCs w:val="24"/>
        </w:rPr>
        <w:t>мотности жителей автономного округа в части способов и пределов</w:t>
      </w:r>
      <w:r w:rsidR="0094533F">
        <w:rPr>
          <w:rFonts w:ascii="Times New Roman" w:hAnsi="Times New Roman" w:cs="Times New Roman"/>
          <w:sz w:val="24"/>
          <w:szCs w:val="24"/>
        </w:rPr>
        <w:t xml:space="preserve"> реализации и защиты их прав, охраняемых з</w:t>
      </w:r>
      <w:r>
        <w:rPr>
          <w:rFonts w:ascii="Times New Roman" w:hAnsi="Times New Roman" w:cs="Times New Roman"/>
          <w:sz w:val="24"/>
          <w:szCs w:val="24"/>
        </w:rPr>
        <w:t>аконом интересов в сфере</w:t>
      </w:r>
      <w:r w:rsidR="0094533F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услуг.</w:t>
      </w:r>
    </w:p>
    <w:p w:rsidR="0094533F" w:rsidRP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взаимодействие</w:t>
      </w:r>
      <w:r w:rsidR="00CC6F69">
        <w:rPr>
          <w:rFonts w:ascii="Times New Roman" w:hAnsi="Times New Roman" w:cs="Times New Roman"/>
          <w:sz w:val="24"/>
          <w:szCs w:val="24"/>
        </w:rPr>
        <w:t xml:space="preserve"> с общественными организациями в области общественного контроля за деятельностью предприятий жилищно-коммунального комплекса.</w:t>
      </w:r>
    </w:p>
    <w:p w:rsidR="00267590" w:rsidRPr="00267590" w:rsidRDefault="00173DF3" w:rsidP="00EF2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90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позволять в целом повысить </w:t>
      </w:r>
      <w:r w:rsidR="00267590" w:rsidRPr="00267590">
        <w:rPr>
          <w:rFonts w:ascii="Times New Roman" w:hAnsi="Times New Roman" w:cs="Times New Roman"/>
          <w:b/>
          <w:sz w:val="24"/>
          <w:szCs w:val="24"/>
        </w:rPr>
        <w:t>социальную эффективность деятельности</w:t>
      </w:r>
      <w:r w:rsidR="00A268EF" w:rsidRPr="00267590">
        <w:rPr>
          <w:rFonts w:ascii="Times New Roman" w:hAnsi="Times New Roman" w:cs="Times New Roman"/>
          <w:b/>
          <w:sz w:val="24"/>
          <w:szCs w:val="24"/>
        </w:rPr>
        <w:t xml:space="preserve"> Консультационно-п</w:t>
      </w:r>
      <w:r w:rsidR="00267590" w:rsidRPr="00267590">
        <w:rPr>
          <w:rFonts w:ascii="Times New Roman" w:hAnsi="Times New Roman" w:cs="Times New Roman"/>
          <w:b/>
          <w:sz w:val="24"/>
          <w:szCs w:val="24"/>
        </w:rPr>
        <w:t xml:space="preserve">равового центра по вопросам ЖКХ. </w:t>
      </w:r>
    </w:p>
    <w:p w:rsidR="00E67C44" w:rsidRDefault="00267590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 возрастет информированность</w:t>
      </w:r>
      <w:r w:rsidR="00A268EF">
        <w:rPr>
          <w:rFonts w:ascii="Times New Roman" w:hAnsi="Times New Roman" w:cs="Times New Roman"/>
          <w:sz w:val="24"/>
          <w:szCs w:val="24"/>
        </w:rPr>
        <w:t xml:space="preserve"> населения о мерах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8EF">
        <w:rPr>
          <w:rFonts w:ascii="Times New Roman" w:hAnsi="Times New Roman" w:cs="Times New Roman"/>
          <w:sz w:val="24"/>
          <w:szCs w:val="24"/>
        </w:rPr>
        <w:t xml:space="preserve"> принимаемых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государством и </w:t>
      </w:r>
      <w:r w:rsidR="00A268EF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>Югры по совершенствованию</w:t>
      </w:r>
      <w:r w:rsidR="00A268EF">
        <w:rPr>
          <w:rFonts w:ascii="Times New Roman" w:hAnsi="Times New Roman" w:cs="Times New Roman"/>
          <w:sz w:val="24"/>
          <w:szCs w:val="24"/>
        </w:rPr>
        <w:t xml:space="preserve"> работы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комплекса. </w:t>
      </w:r>
    </w:p>
    <w:p w:rsidR="00E67C44" w:rsidRDefault="00E67C44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7590">
        <w:rPr>
          <w:rFonts w:ascii="Times New Roman" w:hAnsi="Times New Roman" w:cs="Times New Roman"/>
          <w:sz w:val="24"/>
          <w:szCs w:val="24"/>
        </w:rPr>
        <w:t xml:space="preserve">валифицированный </w:t>
      </w:r>
      <w:r>
        <w:rPr>
          <w:rFonts w:ascii="Times New Roman" w:hAnsi="Times New Roman" w:cs="Times New Roman"/>
          <w:sz w:val="24"/>
          <w:szCs w:val="24"/>
        </w:rPr>
        <w:t xml:space="preserve">совместный с общественными организациями </w:t>
      </w:r>
      <w:r w:rsidR="00267590">
        <w:rPr>
          <w:rFonts w:ascii="Times New Roman" w:hAnsi="Times New Roman" w:cs="Times New Roman"/>
          <w:sz w:val="24"/>
          <w:szCs w:val="24"/>
        </w:rPr>
        <w:t>мониторинг качества предоставляемых жителям Югры жилищ</w:t>
      </w:r>
      <w:r>
        <w:rPr>
          <w:rFonts w:ascii="Times New Roman" w:hAnsi="Times New Roman" w:cs="Times New Roman"/>
          <w:sz w:val="24"/>
          <w:szCs w:val="24"/>
        </w:rPr>
        <w:t xml:space="preserve">но-коммунальных услуг повлияет на </w:t>
      </w:r>
      <w:r w:rsidR="00267590">
        <w:rPr>
          <w:rFonts w:ascii="Times New Roman" w:hAnsi="Times New Roman" w:cs="Times New Roman"/>
          <w:sz w:val="24"/>
          <w:szCs w:val="24"/>
        </w:rPr>
        <w:t>ответственность поставщиков жилищно-коммунальных услуг перед населением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8EF" w:rsidRPr="00E67C44" w:rsidRDefault="00E67C44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67C44">
        <w:rPr>
          <w:rFonts w:ascii="Times New Roman" w:hAnsi="Times New Roman" w:cs="Times New Roman"/>
          <w:sz w:val="24"/>
          <w:szCs w:val="24"/>
        </w:rPr>
        <w:t xml:space="preserve">обственникам жилья </w:t>
      </w:r>
      <w:r>
        <w:rPr>
          <w:rFonts w:ascii="Times New Roman" w:hAnsi="Times New Roman" w:cs="Times New Roman"/>
          <w:sz w:val="24"/>
          <w:szCs w:val="24"/>
        </w:rPr>
        <w:t xml:space="preserve">помогут </w:t>
      </w:r>
      <w:r w:rsidRPr="00E67C44">
        <w:rPr>
          <w:rFonts w:ascii="Times New Roman" w:hAnsi="Times New Roman" w:cs="Times New Roman"/>
          <w:sz w:val="24"/>
          <w:szCs w:val="24"/>
        </w:rPr>
        <w:t>полнее реализовать свои прав</w:t>
      </w:r>
      <w:r>
        <w:rPr>
          <w:rFonts w:ascii="Times New Roman" w:hAnsi="Times New Roman" w:cs="Times New Roman"/>
          <w:sz w:val="24"/>
          <w:szCs w:val="24"/>
        </w:rPr>
        <w:t>а и обязанности, а также сделать</w:t>
      </w:r>
      <w:r w:rsidRPr="00E67C44">
        <w:rPr>
          <w:rFonts w:ascii="Times New Roman" w:hAnsi="Times New Roman" w:cs="Times New Roman"/>
          <w:sz w:val="24"/>
          <w:szCs w:val="24"/>
        </w:rPr>
        <w:t xml:space="preserve"> прозрачнее правовые аспекты качества предоставления коммунальных услуг, содержания общего имущества, управления многоквартирными домами, благоустройства.</w:t>
      </w:r>
    </w:p>
    <w:p w:rsidR="00893560" w:rsidRDefault="00893560" w:rsidP="00EF2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FC6" w:rsidRPr="00B05589" w:rsidRDefault="00EF2FC6" w:rsidP="00B05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2FC6" w:rsidRPr="00B05589" w:rsidSect="00C1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78C4"/>
    <w:multiLevelType w:val="hybridMultilevel"/>
    <w:tmpl w:val="4082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589"/>
    <w:rsid w:val="00022ADF"/>
    <w:rsid w:val="00033A97"/>
    <w:rsid w:val="000518E3"/>
    <w:rsid w:val="00053CF9"/>
    <w:rsid w:val="00064CC5"/>
    <w:rsid w:val="00071F38"/>
    <w:rsid w:val="0009265F"/>
    <w:rsid w:val="00094170"/>
    <w:rsid w:val="000A5725"/>
    <w:rsid w:val="000B23DD"/>
    <w:rsid w:val="000C2D51"/>
    <w:rsid w:val="000D3632"/>
    <w:rsid w:val="001063E7"/>
    <w:rsid w:val="00106731"/>
    <w:rsid w:val="00123BB7"/>
    <w:rsid w:val="00123EFF"/>
    <w:rsid w:val="00127CA9"/>
    <w:rsid w:val="0013270B"/>
    <w:rsid w:val="0014254B"/>
    <w:rsid w:val="00173DF3"/>
    <w:rsid w:val="001843D0"/>
    <w:rsid w:val="001B1268"/>
    <w:rsid w:val="001C3738"/>
    <w:rsid w:val="001C7BB5"/>
    <w:rsid w:val="00204A5B"/>
    <w:rsid w:val="00227091"/>
    <w:rsid w:val="002462C0"/>
    <w:rsid w:val="0026066C"/>
    <w:rsid w:val="0026741F"/>
    <w:rsid w:val="00267590"/>
    <w:rsid w:val="00271661"/>
    <w:rsid w:val="002768C4"/>
    <w:rsid w:val="002856D5"/>
    <w:rsid w:val="00287AE4"/>
    <w:rsid w:val="002A453D"/>
    <w:rsid w:val="002B1242"/>
    <w:rsid w:val="002D2560"/>
    <w:rsid w:val="003233E5"/>
    <w:rsid w:val="00325F2E"/>
    <w:rsid w:val="0033208E"/>
    <w:rsid w:val="00340286"/>
    <w:rsid w:val="00345812"/>
    <w:rsid w:val="00356BAE"/>
    <w:rsid w:val="0037131F"/>
    <w:rsid w:val="00373AC8"/>
    <w:rsid w:val="00373F2D"/>
    <w:rsid w:val="003A3902"/>
    <w:rsid w:val="003B25F9"/>
    <w:rsid w:val="003B5C22"/>
    <w:rsid w:val="003C2158"/>
    <w:rsid w:val="003D15E4"/>
    <w:rsid w:val="003D209B"/>
    <w:rsid w:val="003D2E3A"/>
    <w:rsid w:val="0041263E"/>
    <w:rsid w:val="0042019B"/>
    <w:rsid w:val="004250AC"/>
    <w:rsid w:val="004340AF"/>
    <w:rsid w:val="00455225"/>
    <w:rsid w:val="00456184"/>
    <w:rsid w:val="00456EFE"/>
    <w:rsid w:val="00471895"/>
    <w:rsid w:val="00483509"/>
    <w:rsid w:val="0049161C"/>
    <w:rsid w:val="00497AF4"/>
    <w:rsid w:val="004A1AD3"/>
    <w:rsid w:val="004B02C3"/>
    <w:rsid w:val="004B3884"/>
    <w:rsid w:val="004C1610"/>
    <w:rsid w:val="004C43AE"/>
    <w:rsid w:val="00516067"/>
    <w:rsid w:val="0052414D"/>
    <w:rsid w:val="005259D6"/>
    <w:rsid w:val="00526DA2"/>
    <w:rsid w:val="00530793"/>
    <w:rsid w:val="00552250"/>
    <w:rsid w:val="0058612F"/>
    <w:rsid w:val="00590F0F"/>
    <w:rsid w:val="005A2049"/>
    <w:rsid w:val="005A78EB"/>
    <w:rsid w:val="005B71FB"/>
    <w:rsid w:val="005C12FC"/>
    <w:rsid w:val="005C6C59"/>
    <w:rsid w:val="00600D0F"/>
    <w:rsid w:val="0063149E"/>
    <w:rsid w:val="006553B2"/>
    <w:rsid w:val="0067271C"/>
    <w:rsid w:val="00684D87"/>
    <w:rsid w:val="006C5978"/>
    <w:rsid w:val="006D07BC"/>
    <w:rsid w:val="006E10F1"/>
    <w:rsid w:val="006E3F26"/>
    <w:rsid w:val="0070199C"/>
    <w:rsid w:val="0075116E"/>
    <w:rsid w:val="007565BE"/>
    <w:rsid w:val="007566D8"/>
    <w:rsid w:val="00773015"/>
    <w:rsid w:val="00781AAE"/>
    <w:rsid w:val="007922F6"/>
    <w:rsid w:val="007A158F"/>
    <w:rsid w:val="007A67ED"/>
    <w:rsid w:val="007B0FCF"/>
    <w:rsid w:val="00806634"/>
    <w:rsid w:val="008115BF"/>
    <w:rsid w:val="00817D1F"/>
    <w:rsid w:val="00844B98"/>
    <w:rsid w:val="00856A84"/>
    <w:rsid w:val="00870D0A"/>
    <w:rsid w:val="00872DC4"/>
    <w:rsid w:val="00893560"/>
    <w:rsid w:val="00894434"/>
    <w:rsid w:val="008A0726"/>
    <w:rsid w:val="008B4DFF"/>
    <w:rsid w:val="008C3A1A"/>
    <w:rsid w:val="008C3DE5"/>
    <w:rsid w:val="008D5743"/>
    <w:rsid w:val="008D5E2D"/>
    <w:rsid w:val="008F2BD2"/>
    <w:rsid w:val="00913A4C"/>
    <w:rsid w:val="009418B1"/>
    <w:rsid w:val="0094533F"/>
    <w:rsid w:val="00957BFA"/>
    <w:rsid w:val="00962041"/>
    <w:rsid w:val="009722C8"/>
    <w:rsid w:val="009A0782"/>
    <w:rsid w:val="009C6600"/>
    <w:rsid w:val="009D4B27"/>
    <w:rsid w:val="00A268EF"/>
    <w:rsid w:val="00A33DB9"/>
    <w:rsid w:val="00A53CF7"/>
    <w:rsid w:val="00A70EE8"/>
    <w:rsid w:val="00A727CB"/>
    <w:rsid w:val="00A77845"/>
    <w:rsid w:val="00A80275"/>
    <w:rsid w:val="00AA5E4D"/>
    <w:rsid w:val="00AA7EE4"/>
    <w:rsid w:val="00AE0657"/>
    <w:rsid w:val="00AF3802"/>
    <w:rsid w:val="00B0374C"/>
    <w:rsid w:val="00B05589"/>
    <w:rsid w:val="00B22978"/>
    <w:rsid w:val="00B61991"/>
    <w:rsid w:val="00B748A9"/>
    <w:rsid w:val="00B775C0"/>
    <w:rsid w:val="00B8736B"/>
    <w:rsid w:val="00BE0E6D"/>
    <w:rsid w:val="00C02BE3"/>
    <w:rsid w:val="00C04BE0"/>
    <w:rsid w:val="00C11DD0"/>
    <w:rsid w:val="00C15FE7"/>
    <w:rsid w:val="00C161B0"/>
    <w:rsid w:val="00C16B96"/>
    <w:rsid w:val="00C46CF3"/>
    <w:rsid w:val="00C5354B"/>
    <w:rsid w:val="00C56AE2"/>
    <w:rsid w:val="00C73BE8"/>
    <w:rsid w:val="00C76EC6"/>
    <w:rsid w:val="00C8249B"/>
    <w:rsid w:val="00CA5219"/>
    <w:rsid w:val="00CA5D51"/>
    <w:rsid w:val="00CB1B2E"/>
    <w:rsid w:val="00CB2736"/>
    <w:rsid w:val="00CB37BC"/>
    <w:rsid w:val="00CC118D"/>
    <w:rsid w:val="00CC6F69"/>
    <w:rsid w:val="00CD6953"/>
    <w:rsid w:val="00CF0BDA"/>
    <w:rsid w:val="00D033D6"/>
    <w:rsid w:val="00D453A4"/>
    <w:rsid w:val="00D56ED8"/>
    <w:rsid w:val="00D7035A"/>
    <w:rsid w:val="00D71AD9"/>
    <w:rsid w:val="00D81BB9"/>
    <w:rsid w:val="00D86CA4"/>
    <w:rsid w:val="00DE56FA"/>
    <w:rsid w:val="00DE7639"/>
    <w:rsid w:val="00DE7F0D"/>
    <w:rsid w:val="00E00F48"/>
    <w:rsid w:val="00E36CA8"/>
    <w:rsid w:val="00E37169"/>
    <w:rsid w:val="00E37EF4"/>
    <w:rsid w:val="00E43455"/>
    <w:rsid w:val="00E46365"/>
    <w:rsid w:val="00E50E83"/>
    <w:rsid w:val="00E51023"/>
    <w:rsid w:val="00E67C44"/>
    <w:rsid w:val="00E70705"/>
    <w:rsid w:val="00E713F4"/>
    <w:rsid w:val="00E80C47"/>
    <w:rsid w:val="00E93F2D"/>
    <w:rsid w:val="00EA77A1"/>
    <w:rsid w:val="00EB190B"/>
    <w:rsid w:val="00EE7BE3"/>
    <w:rsid w:val="00EF250E"/>
    <w:rsid w:val="00EF2FC6"/>
    <w:rsid w:val="00F03249"/>
    <w:rsid w:val="00F17EA4"/>
    <w:rsid w:val="00F21537"/>
    <w:rsid w:val="00F22F37"/>
    <w:rsid w:val="00F55A3B"/>
    <w:rsid w:val="00F57498"/>
    <w:rsid w:val="00F6786A"/>
    <w:rsid w:val="00F87316"/>
    <w:rsid w:val="00F90FAB"/>
    <w:rsid w:val="00FA39EE"/>
    <w:rsid w:val="00FB7DB8"/>
    <w:rsid w:val="00FD3812"/>
    <w:rsid w:val="00FD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обращений,</a:t>
            </a:r>
            <a:r>
              <a:rPr lang="ru-RU" baseline="0"/>
              <a:t> поступивших в Консультационно-правовой центр в течение девяти месяцев 2015 года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3.7910466799126762E-2"/>
          <c:y val="0.32906761654793165"/>
          <c:w val="0.93218299114479852"/>
          <c:h val="0.462867454068241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257</c:v>
                </c:pt>
                <c:pt idx="1">
                  <c:v>179</c:v>
                </c:pt>
                <c:pt idx="2">
                  <c:v>179</c:v>
                </c:pt>
                <c:pt idx="3">
                  <c:v>128</c:v>
                </c:pt>
                <c:pt idx="4">
                  <c:v>72</c:v>
                </c:pt>
                <c:pt idx="5">
                  <c:v>52</c:v>
                </c:pt>
                <c:pt idx="6">
                  <c:v>106</c:v>
                </c:pt>
                <c:pt idx="7">
                  <c:v>124</c:v>
                </c:pt>
                <c:pt idx="8">
                  <c:v>180</c:v>
                </c:pt>
              </c:numCache>
            </c:numRef>
          </c:val>
        </c:ser>
        <c:dLbls>
          <c:showVal val="1"/>
        </c:dLbls>
        <c:overlap val="-25"/>
        <c:axId val="86389504"/>
        <c:axId val="86430464"/>
      </c:barChart>
      <c:catAx>
        <c:axId val="86389504"/>
        <c:scaling>
          <c:orientation val="minMax"/>
        </c:scaling>
        <c:axPos val="b"/>
        <c:majorTickMark val="none"/>
        <c:tickLblPos val="nextTo"/>
        <c:crossAx val="86430464"/>
        <c:crosses val="autoZero"/>
        <c:auto val="1"/>
        <c:lblAlgn val="ctr"/>
        <c:lblOffset val="100"/>
      </c:catAx>
      <c:valAx>
        <c:axId val="86430464"/>
        <c:scaling>
          <c:orientation val="minMax"/>
        </c:scaling>
        <c:delete val="1"/>
        <c:axPos val="l"/>
        <c:numFmt formatCode="General" sourceLinked="1"/>
        <c:tickLblPos val="none"/>
        <c:crossAx val="863895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Обращения</a:t>
            </a:r>
            <a:r>
              <a:rPr lang="ru-RU" baseline="0"/>
              <a:t> граждан, поступившие за девять месяцев 2015 года, по территориям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Нижневартовск</c:v>
                </c:pt>
                <c:pt idx="3">
                  <c:v>Сургутский р-н</c:v>
                </c:pt>
                <c:pt idx="4">
                  <c:v>Мегион</c:v>
                </c:pt>
                <c:pt idx="5">
                  <c:v>Нягань</c:v>
                </c:pt>
                <c:pt idx="6">
                  <c:v>Нефтеюганск</c:v>
                </c:pt>
                <c:pt idx="7">
                  <c:v>Советский р-н</c:v>
                </c:pt>
                <c:pt idx="8">
                  <c:v>Урай</c:v>
                </c:pt>
                <c:pt idx="9">
                  <c:v>Когалым</c:v>
                </c:pt>
                <c:pt idx="10">
                  <c:v>Пыть-Ях</c:v>
                </c:pt>
                <c:pt idx="11">
                  <c:v>Ханты-Мансийский р-н</c:v>
                </c:pt>
                <c:pt idx="12">
                  <c:v>Лангепас</c:v>
                </c:pt>
                <c:pt idx="13">
                  <c:v>Октябрьский р-н</c:v>
                </c:pt>
                <c:pt idx="14">
                  <c:v>Нижневартовский р-н</c:v>
                </c:pt>
                <c:pt idx="15">
                  <c:v>Нефтеюганский р-н</c:v>
                </c:pt>
                <c:pt idx="16">
                  <c:v>Березовский р-н</c:v>
                </c:pt>
                <c:pt idx="17">
                  <c:v>Югорск</c:v>
                </c:pt>
                <c:pt idx="18">
                  <c:v>Белоярский р-н</c:v>
                </c:pt>
                <c:pt idx="19">
                  <c:v>Кондинский р-н</c:v>
                </c:pt>
                <c:pt idx="20">
                  <c:v>Радужный</c:v>
                </c:pt>
                <c:pt idx="21">
                  <c:v>Покачи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501</c:v>
                </c:pt>
                <c:pt idx="1">
                  <c:v>131</c:v>
                </c:pt>
                <c:pt idx="2">
                  <c:v>109</c:v>
                </c:pt>
                <c:pt idx="3">
                  <c:v>87</c:v>
                </c:pt>
                <c:pt idx="4">
                  <c:v>64</c:v>
                </c:pt>
                <c:pt idx="5">
                  <c:v>62</c:v>
                </c:pt>
                <c:pt idx="6">
                  <c:v>50</c:v>
                </c:pt>
                <c:pt idx="7">
                  <c:v>41</c:v>
                </c:pt>
                <c:pt idx="8">
                  <c:v>38</c:v>
                </c:pt>
                <c:pt idx="9">
                  <c:v>24</c:v>
                </c:pt>
                <c:pt idx="10">
                  <c:v>24</c:v>
                </c:pt>
                <c:pt idx="11">
                  <c:v>21</c:v>
                </c:pt>
                <c:pt idx="12">
                  <c:v>20</c:v>
                </c:pt>
                <c:pt idx="13">
                  <c:v>18</c:v>
                </c:pt>
                <c:pt idx="14">
                  <c:v>14</c:v>
                </c:pt>
                <c:pt idx="15">
                  <c:v>12</c:v>
                </c:pt>
                <c:pt idx="16">
                  <c:v>11</c:v>
                </c:pt>
                <c:pt idx="17">
                  <c:v>11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9</c:v>
                </c:pt>
              </c:numCache>
            </c:numRef>
          </c:val>
        </c:ser>
        <c:dLbls>
          <c:showVal val="1"/>
        </c:dLbls>
        <c:overlap val="-25"/>
        <c:axId val="88520576"/>
        <c:axId val="88616960"/>
      </c:barChart>
      <c:catAx>
        <c:axId val="88520576"/>
        <c:scaling>
          <c:orientation val="minMax"/>
        </c:scaling>
        <c:axPos val="b"/>
        <c:numFmt formatCode="General" sourceLinked="1"/>
        <c:majorTickMark val="none"/>
        <c:tickLblPos val="nextTo"/>
        <c:crossAx val="88616960"/>
        <c:crosses val="autoZero"/>
        <c:auto val="1"/>
        <c:lblAlgn val="ctr"/>
        <c:lblOffset val="100"/>
      </c:catAx>
      <c:valAx>
        <c:axId val="88616960"/>
        <c:scaling>
          <c:orientation val="minMax"/>
        </c:scaling>
        <c:delete val="1"/>
        <c:axPos val="l"/>
        <c:numFmt formatCode="General" sourceLinked="1"/>
        <c:tickLblPos val="none"/>
        <c:crossAx val="88520576"/>
        <c:crosses val="autoZero"/>
        <c:crossBetween val="between"/>
      </c:valAx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6942837137174546"/>
          <c:y val="0.34486937964530145"/>
          <c:w val="0.66768990210102674"/>
          <c:h val="0.53440454289008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граждан, поступивших за 9 месяцев 2015 года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2.7697204788844951E-2"/>
                  <c:y val="7.3311747246547487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5.9421627124759992E-2"/>
                  <c:y val="-9.2599406382613489E-4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-0.14359790541730577"/>
                  <c:y val="-8.1296146392915838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-2.6917707299680838E-3"/>
                  <c:y val="-6.9032060244805904E-2"/>
                </c:manualLayout>
              </c:layout>
              <c:showCatName val="1"/>
              <c:showPercent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Газоснабжение
0.5%</a:t>
                    </a:r>
                  </a:p>
                </c:rich>
              </c:tx>
              <c:showCatName val="1"/>
              <c:showPercent val="1"/>
            </c:dLbl>
            <c:dLbl>
              <c:idx val="10"/>
              <c:layout>
                <c:manualLayout>
                  <c:x val="0.14429183258802972"/>
                  <c:y val="-4.09924693992690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
2.5%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Капительный ремонт</c:v>
                </c:pt>
                <c:pt idx="1">
                  <c:v>Отопление</c:v>
                </c:pt>
                <c:pt idx="2">
                  <c:v>Ремонт и содержание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Управление МКД</c:v>
                </c:pt>
                <c:pt idx="6">
                  <c:v>Электроснабжение</c:v>
                </c:pt>
                <c:pt idx="7">
                  <c:v>Водоотведение</c:v>
                </c:pt>
                <c:pt idx="8">
                  <c:v>Установка приборов учета</c:v>
                </c:pt>
                <c:pt idx="9">
                  <c:v>Газоснабжение</c:v>
                </c:pt>
                <c:pt idx="10">
                  <c:v>Иные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334</c:v>
                </c:pt>
                <c:pt idx="1">
                  <c:v>276</c:v>
                </c:pt>
                <c:pt idx="2">
                  <c:v>268</c:v>
                </c:pt>
                <c:pt idx="3">
                  <c:v>194</c:v>
                </c:pt>
                <c:pt idx="4">
                  <c:v>168</c:v>
                </c:pt>
                <c:pt idx="5">
                  <c:v>69</c:v>
                </c:pt>
                <c:pt idx="6">
                  <c:v>36</c:v>
                </c:pt>
                <c:pt idx="7">
                  <c:v>31</c:v>
                </c:pt>
                <c:pt idx="8">
                  <c:v>27</c:v>
                </c:pt>
                <c:pt idx="9">
                  <c:v>5</c:v>
                </c:pt>
                <c:pt idx="10">
                  <c:v>49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973899095946381E-2"/>
                  <c:y val="-1.593425821772279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6.0917450422863832E-2"/>
                  <c:y val="6.9591301087364105E-3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Качество оказания услуг</c:v>
                </c:pt>
                <c:pt idx="1">
                  <c:v>Порядок расчета платы</c:v>
                </c:pt>
                <c:pt idx="2">
                  <c:v>Управление МКД</c:v>
                </c:pt>
                <c:pt idx="3">
                  <c:v>Иные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587</c:v>
                </c:pt>
                <c:pt idx="1">
                  <c:v>771</c:v>
                </c:pt>
                <c:pt idx="2">
                  <c:v>69</c:v>
                </c:pt>
                <c:pt idx="3">
                  <c:v>49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542225510401804"/>
          <c:y val="0.23797715761720267"/>
          <c:w val="0.74077190015677596"/>
          <c:h val="0.653977776587450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качеству оказания услуг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4275396783455745E-3"/>
                  <c:y val="-3.148082680141173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4.373866018425549E-3"/>
                  <c:y val="3.490825551567960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4.2114093959731591E-2"/>
                  <c:y val="0.10043887371221456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3.8680089485458612E-2"/>
                  <c:y val="8.766404199475072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6.3129436840529185E-2"/>
                  <c:y val="3.026145541331144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Водоснабжение горячее</c:v>
                </c:pt>
                <c:pt idx="3">
                  <c:v>Водоснабжение холодное</c:v>
                </c:pt>
                <c:pt idx="4">
                  <c:v>Капитальный ремонт</c:v>
                </c:pt>
                <c:pt idx="5">
                  <c:v>Водоотведение</c:v>
                </c:pt>
                <c:pt idx="6">
                  <c:v>Электроснабжение</c:v>
                </c:pt>
                <c:pt idx="7">
                  <c:v>Установка приборов учета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223</c:v>
                </c:pt>
                <c:pt idx="1">
                  <c:v>132</c:v>
                </c:pt>
                <c:pt idx="2">
                  <c:v>96</c:v>
                </c:pt>
                <c:pt idx="3">
                  <c:v>67</c:v>
                </c:pt>
                <c:pt idx="4">
                  <c:v>24</c:v>
                </c:pt>
                <c:pt idx="5">
                  <c:v>22</c:v>
                </c:pt>
                <c:pt idx="6">
                  <c:v>11</c:v>
                </c:pt>
                <c:pt idx="7">
                  <c:v>8</c:v>
                </c:pt>
                <c:pt idx="8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20775742056633181"/>
          <c:y val="0.33187391431143587"/>
          <c:w val="0.68421415615730952"/>
          <c:h val="0.542210303422216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порядку расчета платы за коммунальные услуги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655570492712801E-3"/>
                  <c:y val="-2.5831336300353776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2.8711776881548351E-3"/>
                  <c:y val="2.260768128621604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4.9781191985148243E-2"/>
                  <c:y val="2.4728974095629352E-2"/>
                </c:manualLayout>
              </c:layout>
              <c:showCatName val="1"/>
              <c:showPercent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Водоотведение
0.7%</a:t>
                    </a:r>
                  </a:p>
                </c:rich>
              </c:tx>
              <c:showCatName val="1"/>
              <c:showPercent val="1"/>
            </c:dLbl>
            <c:dLbl>
              <c:idx val="8"/>
              <c:layout>
                <c:manualLayout>
                  <c:x val="0.22980944455113847"/>
                  <c:y val="1.85778589270544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Газоснабжение
0.3%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Лист1!$A$2:$A$10</c:f>
              <c:strCache>
                <c:ptCount val="9"/>
                <c:pt idx="0">
                  <c:v>Капитальный ремонт</c:v>
                </c:pt>
                <c:pt idx="1">
                  <c:v>Отопление</c:v>
                </c:pt>
                <c:pt idx="2">
                  <c:v>Водоснабжение холодное</c:v>
                </c:pt>
                <c:pt idx="3">
                  <c:v>Водоснабжение горячее</c:v>
                </c:pt>
                <c:pt idx="4">
                  <c:v>Ремонт и содержание</c:v>
                </c:pt>
                <c:pt idx="5">
                  <c:v>Электроснабжение</c:v>
                </c:pt>
                <c:pt idx="6">
                  <c:v>Установка приборов учета</c:v>
                </c:pt>
                <c:pt idx="7">
                  <c:v>Водоотведение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310</c:v>
                </c:pt>
                <c:pt idx="1">
                  <c:v>139</c:v>
                </c:pt>
                <c:pt idx="2">
                  <c:v>100</c:v>
                </c:pt>
                <c:pt idx="3">
                  <c:v>98</c:v>
                </c:pt>
                <c:pt idx="4">
                  <c:v>43</c:v>
                </c:pt>
                <c:pt idx="5">
                  <c:v>25</c:v>
                </c:pt>
                <c:pt idx="6">
                  <c:v>18</c:v>
                </c:pt>
                <c:pt idx="7">
                  <c:v>9</c:v>
                </c:pt>
                <c:pt idx="8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1A5C0-7E1E-4DCE-829E-C5BB263A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Институт Управления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РИУ</dc:creator>
  <cp:keywords/>
  <dc:description/>
  <cp:lastModifiedBy>m.dorohova</cp:lastModifiedBy>
  <cp:revision>4</cp:revision>
  <dcterms:created xsi:type="dcterms:W3CDTF">2015-10-07T10:00:00Z</dcterms:created>
  <dcterms:modified xsi:type="dcterms:W3CDTF">2015-10-08T09:04:00Z</dcterms:modified>
</cp:coreProperties>
</file>