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22" w:rsidRDefault="000D0022" w:rsidP="000D0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Консультационно-пр</w:t>
      </w:r>
      <w:r w:rsidR="00C16C0B">
        <w:rPr>
          <w:rFonts w:ascii="Times New Roman" w:hAnsi="Times New Roman"/>
          <w:b/>
          <w:sz w:val="24"/>
          <w:szCs w:val="24"/>
        </w:rPr>
        <w:t>авового центра в</w:t>
      </w:r>
      <w:r w:rsidR="00A8027F">
        <w:rPr>
          <w:rFonts w:ascii="Times New Roman" w:hAnsi="Times New Roman"/>
          <w:b/>
          <w:sz w:val="24"/>
          <w:szCs w:val="24"/>
        </w:rPr>
        <w:t>о 2</w:t>
      </w:r>
      <w:r w:rsidR="00C16C0B">
        <w:rPr>
          <w:rFonts w:ascii="Times New Roman" w:hAnsi="Times New Roman"/>
          <w:b/>
          <w:sz w:val="24"/>
          <w:szCs w:val="24"/>
        </w:rPr>
        <w:t xml:space="preserve"> квартале 2015</w:t>
      </w:r>
      <w:r w:rsidR="00CF660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D0022" w:rsidRDefault="00A8027F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второго</w:t>
      </w:r>
      <w:r w:rsidR="00C16C0B">
        <w:rPr>
          <w:rFonts w:ascii="Times New Roman" w:hAnsi="Times New Roman"/>
          <w:sz w:val="24"/>
          <w:szCs w:val="24"/>
        </w:rPr>
        <w:t xml:space="preserve"> квартала 2015</w:t>
      </w:r>
      <w:r w:rsidR="00CF6609">
        <w:rPr>
          <w:rFonts w:ascii="Times New Roman" w:hAnsi="Times New Roman"/>
          <w:sz w:val="24"/>
          <w:szCs w:val="24"/>
        </w:rPr>
        <w:t xml:space="preserve"> года</w:t>
      </w:r>
      <w:r w:rsidR="000D0022">
        <w:rPr>
          <w:rFonts w:ascii="Times New Roman" w:hAnsi="Times New Roman"/>
          <w:sz w:val="24"/>
          <w:szCs w:val="24"/>
        </w:rPr>
        <w:t xml:space="preserve"> специалистами </w:t>
      </w:r>
      <w:r w:rsidR="00CF6609">
        <w:rPr>
          <w:rFonts w:ascii="Times New Roman" w:hAnsi="Times New Roman"/>
          <w:sz w:val="24"/>
          <w:szCs w:val="24"/>
        </w:rPr>
        <w:t>Ц</w:t>
      </w:r>
      <w:r w:rsidR="000D0022">
        <w:rPr>
          <w:rFonts w:ascii="Times New Roman" w:hAnsi="Times New Roman"/>
          <w:sz w:val="24"/>
          <w:szCs w:val="24"/>
        </w:rPr>
        <w:t>ентра проведена активная комплексная р</w:t>
      </w:r>
      <w:r w:rsidR="00CF6609">
        <w:rPr>
          <w:rFonts w:ascii="Times New Roman" w:hAnsi="Times New Roman"/>
          <w:sz w:val="24"/>
          <w:szCs w:val="24"/>
        </w:rPr>
        <w:t>абота по обеспечению выполнения</w:t>
      </w:r>
      <w:r w:rsidR="000D0022">
        <w:rPr>
          <w:rFonts w:ascii="Times New Roman" w:hAnsi="Times New Roman"/>
          <w:sz w:val="24"/>
          <w:szCs w:val="24"/>
        </w:rPr>
        <w:t xml:space="preserve"> поставленных целей и задач.</w:t>
      </w:r>
    </w:p>
    <w:p w:rsidR="000D0022" w:rsidRDefault="000D0022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Консультационная деятельность </w:t>
      </w:r>
      <w:r w:rsidR="00CF660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ентра.</w:t>
      </w:r>
    </w:p>
    <w:p w:rsidR="00BB4F03" w:rsidRDefault="00C16C0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="00A8027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A8027F">
        <w:rPr>
          <w:rFonts w:ascii="Times New Roman" w:hAnsi="Times New Roman"/>
          <w:sz w:val="24"/>
          <w:szCs w:val="24"/>
        </w:rPr>
        <w:t>втором</w:t>
      </w:r>
      <w:r>
        <w:rPr>
          <w:rFonts w:ascii="Times New Roman" w:hAnsi="Times New Roman"/>
          <w:sz w:val="24"/>
          <w:szCs w:val="24"/>
        </w:rPr>
        <w:t xml:space="preserve"> квартале 2015</w:t>
      </w:r>
      <w:r w:rsidR="000D0022">
        <w:rPr>
          <w:rFonts w:ascii="Times New Roman" w:hAnsi="Times New Roman"/>
          <w:sz w:val="24"/>
          <w:szCs w:val="24"/>
        </w:rPr>
        <w:t xml:space="preserve"> года в Консультационно-правовой центр по вопросам защиты и обеспечения прав граждан при предоставлении жилищно-коммунальных услуг Ханты-Мансийского автономного округа – Югры </w:t>
      </w:r>
      <w:r w:rsidR="00C740A0">
        <w:rPr>
          <w:rFonts w:ascii="Times New Roman" w:hAnsi="Times New Roman"/>
          <w:sz w:val="24"/>
          <w:szCs w:val="24"/>
        </w:rPr>
        <w:t>обратилось</w:t>
      </w:r>
      <w:r w:rsidR="00A8027F">
        <w:rPr>
          <w:rFonts w:ascii="Times New Roman" w:hAnsi="Times New Roman"/>
          <w:sz w:val="24"/>
          <w:szCs w:val="24"/>
        </w:rPr>
        <w:t xml:space="preserve"> 252</w:t>
      </w:r>
      <w:r w:rsidR="000D0022">
        <w:rPr>
          <w:rFonts w:ascii="Times New Roman" w:hAnsi="Times New Roman"/>
          <w:sz w:val="24"/>
          <w:szCs w:val="24"/>
        </w:rPr>
        <w:t xml:space="preserve"> граждан</w:t>
      </w:r>
      <w:r w:rsidR="00A8027F">
        <w:rPr>
          <w:rFonts w:ascii="Times New Roman" w:hAnsi="Times New Roman"/>
          <w:sz w:val="24"/>
          <w:szCs w:val="24"/>
        </w:rPr>
        <w:t>ина</w:t>
      </w:r>
      <w:r w:rsidR="000D0022">
        <w:rPr>
          <w:rFonts w:ascii="Times New Roman" w:hAnsi="Times New Roman"/>
          <w:sz w:val="24"/>
          <w:szCs w:val="24"/>
        </w:rPr>
        <w:t>.</w:t>
      </w:r>
      <w:r w:rsidR="00202F3E">
        <w:rPr>
          <w:rFonts w:ascii="Times New Roman" w:hAnsi="Times New Roman"/>
          <w:sz w:val="24"/>
          <w:szCs w:val="24"/>
        </w:rPr>
        <w:t xml:space="preserve"> </w:t>
      </w:r>
      <w:r w:rsidR="00A8027F">
        <w:rPr>
          <w:rFonts w:ascii="Times New Roman" w:hAnsi="Times New Roman"/>
          <w:sz w:val="24"/>
          <w:szCs w:val="24"/>
        </w:rPr>
        <w:t>По состоянию на 06</w:t>
      </w:r>
      <w:r>
        <w:rPr>
          <w:rFonts w:ascii="Times New Roman" w:hAnsi="Times New Roman"/>
          <w:sz w:val="24"/>
          <w:szCs w:val="24"/>
        </w:rPr>
        <w:t xml:space="preserve"> </w:t>
      </w:r>
      <w:r w:rsidR="00A8027F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2015 года п</w:t>
      </w:r>
      <w:r w:rsidR="00A8027F">
        <w:rPr>
          <w:rFonts w:ascii="Times New Roman" w:hAnsi="Times New Roman"/>
          <w:sz w:val="24"/>
          <w:szCs w:val="24"/>
        </w:rPr>
        <w:t>редоставлено гражданам 246</w:t>
      </w:r>
      <w:r>
        <w:rPr>
          <w:rFonts w:ascii="Times New Roman" w:hAnsi="Times New Roman"/>
          <w:sz w:val="24"/>
          <w:szCs w:val="24"/>
        </w:rPr>
        <w:t xml:space="preserve"> консультаций</w:t>
      </w:r>
      <w:r w:rsidR="00BB4F03">
        <w:rPr>
          <w:rFonts w:ascii="Times New Roman" w:hAnsi="Times New Roman"/>
          <w:sz w:val="24"/>
          <w:szCs w:val="24"/>
        </w:rPr>
        <w:t xml:space="preserve">. </w:t>
      </w:r>
    </w:p>
    <w:p w:rsidR="00DD733A" w:rsidRDefault="000D0022" w:rsidP="00BB4F0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аналогичный период прошлого года </w:t>
      </w:r>
      <w:r w:rsidR="00613992">
        <w:rPr>
          <w:rFonts w:ascii="Times New Roman" w:hAnsi="Times New Roman"/>
          <w:sz w:val="24"/>
          <w:szCs w:val="24"/>
        </w:rPr>
        <w:t>обратился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A8027F">
        <w:rPr>
          <w:rFonts w:ascii="Times New Roman" w:hAnsi="Times New Roman"/>
          <w:sz w:val="24"/>
          <w:szCs w:val="24"/>
        </w:rPr>
        <w:t>248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C740A0">
        <w:rPr>
          <w:rFonts w:ascii="Times New Roman" w:hAnsi="Times New Roman"/>
          <w:sz w:val="24"/>
          <w:szCs w:val="24"/>
        </w:rPr>
        <w:t>граждан</w:t>
      </w:r>
      <w:r w:rsidR="008D625A">
        <w:rPr>
          <w:rFonts w:ascii="Times New Roman" w:hAnsi="Times New Roman"/>
          <w:sz w:val="24"/>
          <w:szCs w:val="24"/>
        </w:rPr>
        <w:t>.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A8027F">
        <w:rPr>
          <w:rFonts w:ascii="Times New Roman" w:hAnsi="Times New Roman"/>
          <w:sz w:val="24"/>
          <w:szCs w:val="24"/>
        </w:rPr>
        <w:t>Наблюдается небольшой рост числа обращений граждан, но в целом количество обращений граждан сохраняется на уровне прошлого года.</w:t>
      </w:r>
    </w:p>
    <w:p w:rsidR="009447D8" w:rsidRPr="009447D8" w:rsidRDefault="00697714" w:rsidP="000D00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0B4" w:rsidRDefault="00AD30B4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Обратиться в Консультационный центр граждане могут</w:t>
      </w:r>
      <w:r w:rsidR="00CF66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позвонив на телефон «горячей линии» 8 800 10 10</w:t>
      </w:r>
      <w:r w:rsidR="00DB64F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086</w:t>
      </w:r>
      <w:r w:rsidR="00DB64FC">
        <w:rPr>
          <w:rFonts w:ascii="Times New Roman" w:hAnsi="Times New Roman"/>
          <w:sz w:val="24"/>
          <w:szCs w:val="24"/>
        </w:rPr>
        <w:t xml:space="preserve">, направив свой вопрос на электронный ящик </w:t>
      </w:r>
      <w:hyperlink r:id="rId7" w:history="1">
        <w:r w:rsidR="00DB64FC" w:rsidRPr="005A17F8">
          <w:rPr>
            <w:rStyle w:val="a3"/>
            <w:rFonts w:ascii="Times New Roman" w:hAnsi="Times New Roman"/>
            <w:sz w:val="24"/>
            <w:szCs w:val="24"/>
          </w:rPr>
          <w:t>vopros-jkh@adminugra.ru</w:t>
        </w:r>
      </w:hyperlink>
      <w:r w:rsidR="00DB64FC" w:rsidRPr="00DB64FC">
        <w:rPr>
          <w:rFonts w:ascii="Times New Roman" w:hAnsi="Times New Roman"/>
          <w:sz w:val="24"/>
          <w:szCs w:val="24"/>
        </w:rPr>
        <w:t xml:space="preserve">. </w:t>
      </w:r>
      <w:r w:rsidR="00935DBC">
        <w:rPr>
          <w:rFonts w:ascii="Times New Roman" w:hAnsi="Times New Roman"/>
          <w:sz w:val="24"/>
          <w:szCs w:val="24"/>
        </w:rPr>
        <w:t xml:space="preserve">Направить обращение в центр можно </w:t>
      </w:r>
      <w:r w:rsidR="008D625A">
        <w:rPr>
          <w:rFonts w:ascii="Times New Roman" w:hAnsi="Times New Roman"/>
          <w:sz w:val="24"/>
          <w:szCs w:val="24"/>
        </w:rPr>
        <w:t>с помощью сервиса по приему обращений граждан на сайте «Твой портал для жизни» (</w:t>
      </w:r>
      <w:hyperlink r:id="rId8" w:history="1">
        <w:r w:rsidR="00CF6609" w:rsidRPr="00D87AE6">
          <w:rPr>
            <w:rStyle w:val="a3"/>
            <w:rFonts w:ascii="Times New Roman" w:hAnsi="Times New Roman"/>
            <w:sz w:val="24"/>
            <w:szCs w:val="24"/>
          </w:rPr>
          <w:t>http://www.86gkh.ru/jku/consultation/ask/</w:t>
        </w:r>
      </w:hyperlink>
      <w:r w:rsidR="004136C1">
        <w:rPr>
          <w:rFonts w:ascii="Times New Roman" w:hAnsi="Times New Roman"/>
          <w:sz w:val="24"/>
          <w:szCs w:val="24"/>
        </w:rPr>
        <w:t>)</w:t>
      </w:r>
      <w:r w:rsidR="00935DBC">
        <w:rPr>
          <w:rFonts w:ascii="Times New Roman" w:hAnsi="Times New Roman"/>
          <w:bCs/>
          <w:sz w:val="24"/>
          <w:szCs w:val="24"/>
        </w:rPr>
        <w:t>. Получить консу</w:t>
      </w:r>
      <w:r w:rsidR="00CF6609">
        <w:rPr>
          <w:rFonts w:ascii="Times New Roman" w:hAnsi="Times New Roman"/>
          <w:bCs/>
          <w:sz w:val="24"/>
          <w:szCs w:val="24"/>
        </w:rPr>
        <w:t>льтацию граждане могут,  позвонив</w:t>
      </w:r>
      <w:r w:rsidR="00935DBC">
        <w:rPr>
          <w:rFonts w:ascii="Times New Roman" w:hAnsi="Times New Roman"/>
          <w:bCs/>
          <w:sz w:val="24"/>
          <w:szCs w:val="24"/>
        </w:rPr>
        <w:t xml:space="preserve"> нап</w:t>
      </w:r>
      <w:r w:rsidR="00F96B63">
        <w:rPr>
          <w:rFonts w:ascii="Times New Roman" w:hAnsi="Times New Roman"/>
          <w:bCs/>
          <w:sz w:val="24"/>
          <w:szCs w:val="24"/>
        </w:rPr>
        <w:t>рямую в центр или на личном приё</w:t>
      </w:r>
      <w:r w:rsidR="00935DBC">
        <w:rPr>
          <w:rFonts w:ascii="Times New Roman" w:hAnsi="Times New Roman"/>
          <w:bCs/>
          <w:sz w:val="24"/>
          <w:szCs w:val="24"/>
        </w:rPr>
        <w:t>ме.</w:t>
      </w:r>
    </w:p>
    <w:p w:rsidR="0073359B" w:rsidRPr="00DD1228" w:rsidRDefault="0073359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</w:t>
      </w:r>
      <w:r w:rsidR="00F96B63">
        <w:rPr>
          <w:rFonts w:ascii="Times New Roman" w:hAnsi="Times New Roman"/>
          <w:sz w:val="24"/>
          <w:szCs w:val="24"/>
        </w:rPr>
        <w:t xml:space="preserve"> в течение второго</w:t>
      </w:r>
      <w:r w:rsidR="00DD1228">
        <w:rPr>
          <w:rFonts w:ascii="Times New Roman" w:hAnsi="Times New Roman"/>
          <w:sz w:val="24"/>
          <w:szCs w:val="24"/>
        </w:rPr>
        <w:t xml:space="preserve"> квартала 2015</w:t>
      </w:r>
      <w:r>
        <w:rPr>
          <w:rFonts w:ascii="Times New Roman" w:hAnsi="Times New Roman"/>
          <w:sz w:val="24"/>
          <w:szCs w:val="24"/>
        </w:rPr>
        <w:t xml:space="preserve"> года с помощью телефона </w:t>
      </w:r>
      <w:r w:rsidR="0090599E">
        <w:rPr>
          <w:rFonts w:ascii="Times New Roman" w:hAnsi="Times New Roman"/>
          <w:sz w:val="24"/>
          <w:szCs w:val="24"/>
        </w:rPr>
        <w:t>«горяч</w:t>
      </w:r>
      <w:r w:rsidR="00F96B63">
        <w:rPr>
          <w:rFonts w:ascii="Times New Roman" w:hAnsi="Times New Roman"/>
          <w:sz w:val="24"/>
          <w:szCs w:val="24"/>
        </w:rPr>
        <w:t>ей линии» в центр обратились 233</w:t>
      </w:r>
      <w:r w:rsidR="0090599E">
        <w:rPr>
          <w:rFonts w:ascii="Times New Roman" w:hAnsi="Times New Roman"/>
          <w:sz w:val="24"/>
          <w:szCs w:val="24"/>
        </w:rPr>
        <w:t xml:space="preserve"> граждан</w:t>
      </w:r>
      <w:r w:rsidR="00F96B63">
        <w:rPr>
          <w:rFonts w:ascii="Times New Roman" w:hAnsi="Times New Roman"/>
          <w:sz w:val="24"/>
          <w:szCs w:val="24"/>
        </w:rPr>
        <w:t>ина или 92</w:t>
      </w:r>
      <w:r w:rsidR="00B8422A">
        <w:rPr>
          <w:rFonts w:ascii="Times New Roman" w:hAnsi="Times New Roman"/>
          <w:sz w:val="24"/>
          <w:szCs w:val="24"/>
        </w:rPr>
        <w:t xml:space="preserve"> </w:t>
      </w:r>
      <w:r w:rsidR="0090599E">
        <w:rPr>
          <w:rFonts w:ascii="Times New Roman" w:hAnsi="Times New Roman"/>
          <w:sz w:val="24"/>
          <w:szCs w:val="24"/>
        </w:rPr>
        <w:t>% от общего числа обратившихся</w:t>
      </w:r>
      <w:r w:rsidR="004136C1">
        <w:rPr>
          <w:rFonts w:ascii="Times New Roman" w:hAnsi="Times New Roman"/>
          <w:sz w:val="24"/>
          <w:szCs w:val="24"/>
        </w:rPr>
        <w:t xml:space="preserve"> граждан</w:t>
      </w:r>
      <w:r w:rsidR="0090599E">
        <w:rPr>
          <w:rFonts w:ascii="Times New Roman" w:hAnsi="Times New Roman"/>
          <w:sz w:val="24"/>
          <w:szCs w:val="24"/>
        </w:rPr>
        <w:t xml:space="preserve">. </w:t>
      </w:r>
      <w:r w:rsidR="00145E96">
        <w:rPr>
          <w:rFonts w:ascii="Times New Roman" w:hAnsi="Times New Roman"/>
          <w:sz w:val="24"/>
          <w:szCs w:val="24"/>
        </w:rPr>
        <w:t xml:space="preserve">По </w:t>
      </w:r>
      <w:r w:rsidR="00F96B63">
        <w:rPr>
          <w:rFonts w:ascii="Times New Roman" w:hAnsi="Times New Roman"/>
          <w:sz w:val="24"/>
          <w:szCs w:val="24"/>
        </w:rPr>
        <w:t>электронной почте поступило 4</w:t>
      </w:r>
      <w:r w:rsidR="00145E96">
        <w:rPr>
          <w:rFonts w:ascii="Times New Roman" w:hAnsi="Times New Roman"/>
          <w:sz w:val="24"/>
          <w:szCs w:val="24"/>
        </w:rPr>
        <w:t xml:space="preserve"> в</w:t>
      </w:r>
      <w:r w:rsidR="00F96B63">
        <w:rPr>
          <w:rFonts w:ascii="Times New Roman" w:hAnsi="Times New Roman"/>
          <w:sz w:val="24"/>
          <w:szCs w:val="24"/>
        </w:rPr>
        <w:t>опроса</w:t>
      </w:r>
      <w:r w:rsidR="00017B07">
        <w:rPr>
          <w:rFonts w:ascii="Times New Roman" w:hAnsi="Times New Roman"/>
          <w:sz w:val="24"/>
          <w:szCs w:val="24"/>
        </w:rPr>
        <w:t xml:space="preserve"> </w:t>
      </w:r>
      <w:r w:rsidR="00F96B63">
        <w:rPr>
          <w:rFonts w:ascii="Times New Roman" w:hAnsi="Times New Roman"/>
          <w:sz w:val="24"/>
          <w:szCs w:val="24"/>
        </w:rPr>
        <w:t xml:space="preserve">от </w:t>
      </w:r>
      <w:r w:rsidR="00017B07">
        <w:rPr>
          <w:rFonts w:ascii="Times New Roman" w:hAnsi="Times New Roman"/>
          <w:sz w:val="24"/>
          <w:szCs w:val="24"/>
        </w:rPr>
        <w:t>граждан</w:t>
      </w:r>
      <w:r w:rsidR="00145E96">
        <w:rPr>
          <w:rFonts w:ascii="Times New Roman" w:hAnsi="Times New Roman"/>
          <w:sz w:val="24"/>
          <w:szCs w:val="24"/>
        </w:rPr>
        <w:t xml:space="preserve">. </w:t>
      </w:r>
      <w:r w:rsidR="00807672">
        <w:rPr>
          <w:rFonts w:ascii="Times New Roman" w:hAnsi="Times New Roman"/>
          <w:sz w:val="24"/>
          <w:szCs w:val="24"/>
        </w:rPr>
        <w:t>Получили консультацию, поз</w:t>
      </w:r>
      <w:r w:rsidR="004136C1">
        <w:rPr>
          <w:rFonts w:ascii="Times New Roman" w:hAnsi="Times New Roman"/>
          <w:sz w:val="24"/>
          <w:szCs w:val="24"/>
        </w:rPr>
        <w:t>вонив н</w:t>
      </w:r>
      <w:r w:rsidR="00452E02">
        <w:rPr>
          <w:rFonts w:ascii="Times New Roman" w:hAnsi="Times New Roman"/>
          <w:sz w:val="24"/>
          <w:szCs w:val="24"/>
        </w:rPr>
        <w:t>епосредственно в центр</w:t>
      </w:r>
      <w:r w:rsidR="00CF6609">
        <w:rPr>
          <w:rFonts w:ascii="Times New Roman" w:hAnsi="Times New Roman"/>
          <w:sz w:val="24"/>
          <w:szCs w:val="24"/>
        </w:rPr>
        <w:t>,</w:t>
      </w:r>
      <w:r w:rsidR="00F96B63">
        <w:rPr>
          <w:rFonts w:ascii="Times New Roman" w:hAnsi="Times New Roman"/>
          <w:sz w:val="24"/>
          <w:szCs w:val="24"/>
        </w:rPr>
        <w:t xml:space="preserve"> 8</w:t>
      </w:r>
      <w:r w:rsidR="00807672">
        <w:rPr>
          <w:rFonts w:ascii="Times New Roman" w:hAnsi="Times New Roman"/>
          <w:sz w:val="24"/>
          <w:szCs w:val="24"/>
        </w:rPr>
        <w:t xml:space="preserve"> граждан, </w:t>
      </w:r>
      <w:r w:rsidR="00DD1228">
        <w:rPr>
          <w:rFonts w:ascii="Times New Roman" w:hAnsi="Times New Roman"/>
          <w:sz w:val="24"/>
          <w:szCs w:val="24"/>
        </w:rPr>
        <w:t>1</w:t>
      </w:r>
      <w:r w:rsidR="00807672">
        <w:rPr>
          <w:rFonts w:ascii="Times New Roman" w:hAnsi="Times New Roman"/>
          <w:sz w:val="24"/>
          <w:szCs w:val="24"/>
        </w:rPr>
        <w:t xml:space="preserve"> граждан</w:t>
      </w:r>
      <w:r w:rsidR="00DD1228">
        <w:rPr>
          <w:rFonts w:ascii="Times New Roman" w:hAnsi="Times New Roman"/>
          <w:sz w:val="24"/>
          <w:szCs w:val="24"/>
        </w:rPr>
        <w:t>ин</w:t>
      </w:r>
      <w:r w:rsidR="00452E02">
        <w:rPr>
          <w:rFonts w:ascii="Times New Roman" w:hAnsi="Times New Roman"/>
          <w:sz w:val="24"/>
          <w:szCs w:val="24"/>
        </w:rPr>
        <w:t xml:space="preserve"> был</w:t>
      </w:r>
      <w:r w:rsidR="00807672">
        <w:rPr>
          <w:rFonts w:ascii="Times New Roman" w:hAnsi="Times New Roman"/>
          <w:sz w:val="24"/>
          <w:szCs w:val="24"/>
        </w:rPr>
        <w:t xml:space="preserve"> проконс</w:t>
      </w:r>
      <w:r w:rsidR="00452E02">
        <w:rPr>
          <w:rFonts w:ascii="Times New Roman" w:hAnsi="Times New Roman"/>
          <w:sz w:val="24"/>
          <w:szCs w:val="24"/>
        </w:rPr>
        <w:t>ультирован</w:t>
      </w:r>
      <w:r w:rsidR="004136C1">
        <w:rPr>
          <w:rFonts w:ascii="Times New Roman" w:hAnsi="Times New Roman"/>
          <w:sz w:val="24"/>
          <w:szCs w:val="24"/>
        </w:rPr>
        <w:t xml:space="preserve"> на личном приеме,</w:t>
      </w:r>
      <w:r w:rsidR="00807672">
        <w:rPr>
          <w:rFonts w:ascii="Times New Roman" w:hAnsi="Times New Roman"/>
          <w:sz w:val="24"/>
          <w:szCs w:val="24"/>
        </w:rPr>
        <w:t xml:space="preserve"> </w:t>
      </w:r>
      <w:r w:rsidR="00F96B63">
        <w:rPr>
          <w:rFonts w:ascii="Times New Roman" w:hAnsi="Times New Roman"/>
          <w:sz w:val="24"/>
          <w:szCs w:val="24"/>
        </w:rPr>
        <w:t>6</w:t>
      </w:r>
      <w:r w:rsidR="004136C1">
        <w:rPr>
          <w:rFonts w:ascii="Times New Roman" w:hAnsi="Times New Roman"/>
          <w:sz w:val="24"/>
          <w:szCs w:val="24"/>
        </w:rPr>
        <w:t xml:space="preserve"> обратившихся направили вопросы с помощью сайта «Твой портал для жизни».</w:t>
      </w:r>
      <w:r w:rsidR="00FA4F36">
        <w:rPr>
          <w:rFonts w:ascii="Times New Roman" w:hAnsi="Times New Roman"/>
          <w:sz w:val="24"/>
          <w:szCs w:val="24"/>
        </w:rPr>
        <w:t xml:space="preserve"> В июне 2015 года сотрудниками центра было принято участие в подготовке проведения общего собрания собственников помещений в многоквартирном доме в г. Ханты-Мансийске по адресу ул. Коминтерна, 6.</w:t>
      </w:r>
      <w:bookmarkStart w:id="0" w:name="_GoBack"/>
      <w:bookmarkEnd w:id="0"/>
      <w:r w:rsidR="00FA4F36">
        <w:rPr>
          <w:rFonts w:ascii="Times New Roman" w:hAnsi="Times New Roman"/>
          <w:sz w:val="24"/>
          <w:szCs w:val="24"/>
        </w:rPr>
        <w:t xml:space="preserve"> </w:t>
      </w:r>
    </w:p>
    <w:p w:rsidR="0037770F" w:rsidRDefault="0037770F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9447D8">
        <w:rPr>
          <w:rFonts w:ascii="Times New Roman" w:hAnsi="Times New Roman"/>
          <w:sz w:val="24"/>
          <w:szCs w:val="24"/>
        </w:rPr>
        <w:t>Большинство обращений поступило от граждан, проживающих на территории таких муниципальных образов</w:t>
      </w:r>
      <w:r w:rsidR="009B5CAA">
        <w:rPr>
          <w:rFonts w:ascii="Times New Roman" w:hAnsi="Times New Roman"/>
          <w:sz w:val="24"/>
          <w:szCs w:val="24"/>
        </w:rPr>
        <w:t>аний как: г.</w:t>
      </w:r>
      <w:r w:rsidR="00014AC2">
        <w:rPr>
          <w:rFonts w:ascii="Times New Roman" w:hAnsi="Times New Roman"/>
          <w:sz w:val="24"/>
          <w:szCs w:val="24"/>
        </w:rPr>
        <w:t xml:space="preserve"> Сургут, г. Ханты-Мансийск, </w:t>
      </w:r>
      <w:r w:rsidR="00042C0A">
        <w:rPr>
          <w:rFonts w:ascii="Times New Roman" w:hAnsi="Times New Roman"/>
          <w:sz w:val="24"/>
          <w:szCs w:val="24"/>
        </w:rPr>
        <w:t xml:space="preserve">г. Нижневартовск, </w:t>
      </w:r>
      <w:proofErr w:type="spellStart"/>
      <w:r w:rsidR="002715EF">
        <w:rPr>
          <w:rFonts w:ascii="Times New Roman" w:hAnsi="Times New Roman"/>
          <w:sz w:val="24"/>
          <w:szCs w:val="24"/>
        </w:rPr>
        <w:t>Сургутск</w:t>
      </w:r>
      <w:r w:rsidR="00CF6609">
        <w:rPr>
          <w:rFonts w:ascii="Times New Roman" w:hAnsi="Times New Roman"/>
          <w:sz w:val="24"/>
          <w:szCs w:val="24"/>
        </w:rPr>
        <w:t>ий</w:t>
      </w:r>
      <w:proofErr w:type="spellEnd"/>
      <w:r w:rsidR="00CF6609">
        <w:rPr>
          <w:rFonts w:ascii="Times New Roman" w:hAnsi="Times New Roman"/>
          <w:sz w:val="24"/>
          <w:szCs w:val="24"/>
        </w:rPr>
        <w:t xml:space="preserve"> </w:t>
      </w:r>
      <w:r w:rsidR="00042C0A">
        <w:rPr>
          <w:rFonts w:ascii="Times New Roman" w:hAnsi="Times New Roman"/>
          <w:sz w:val="24"/>
          <w:szCs w:val="24"/>
        </w:rPr>
        <w:t xml:space="preserve">и Советский </w:t>
      </w:r>
      <w:r w:rsidR="00CF6609">
        <w:rPr>
          <w:rFonts w:ascii="Times New Roman" w:hAnsi="Times New Roman"/>
          <w:sz w:val="24"/>
          <w:szCs w:val="24"/>
        </w:rPr>
        <w:t>район</w:t>
      </w:r>
      <w:r w:rsidR="00042C0A">
        <w:rPr>
          <w:rFonts w:ascii="Times New Roman" w:hAnsi="Times New Roman"/>
          <w:sz w:val="24"/>
          <w:szCs w:val="24"/>
        </w:rPr>
        <w:t>ы</w:t>
      </w:r>
      <w:r w:rsidR="00FA3BE8">
        <w:rPr>
          <w:rFonts w:ascii="Times New Roman" w:hAnsi="Times New Roman"/>
          <w:sz w:val="24"/>
          <w:szCs w:val="24"/>
        </w:rPr>
        <w:t>.</w:t>
      </w:r>
      <w:r w:rsidR="009447D8">
        <w:rPr>
          <w:rFonts w:ascii="Times New Roman" w:hAnsi="Times New Roman"/>
          <w:sz w:val="24"/>
          <w:szCs w:val="24"/>
        </w:rPr>
        <w:t xml:space="preserve"> </w:t>
      </w:r>
    </w:p>
    <w:p w:rsidR="0037526F" w:rsidRPr="00E945CB" w:rsidRDefault="00697714" w:rsidP="000D002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228D" w:rsidRDefault="00786915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большей степени вопросы, заданные гражданами, касались </w:t>
      </w:r>
      <w:r w:rsidR="006D2A5F">
        <w:rPr>
          <w:rFonts w:ascii="Times New Roman" w:hAnsi="Times New Roman"/>
          <w:sz w:val="24"/>
          <w:szCs w:val="24"/>
        </w:rPr>
        <w:t>порядка расчета платы за капитальный ремонт многоквартирных домов</w:t>
      </w:r>
      <w:r w:rsidR="002D228D">
        <w:rPr>
          <w:rFonts w:ascii="Times New Roman" w:hAnsi="Times New Roman"/>
          <w:sz w:val="24"/>
          <w:szCs w:val="24"/>
        </w:rPr>
        <w:t xml:space="preserve"> и качества оказания услуг по ремонту и содержанию общего имущества многоквартирных домов</w:t>
      </w:r>
      <w:r>
        <w:rPr>
          <w:rFonts w:ascii="Times New Roman" w:hAnsi="Times New Roman"/>
          <w:sz w:val="24"/>
          <w:szCs w:val="24"/>
        </w:rPr>
        <w:t>.</w:t>
      </w:r>
      <w:r w:rsidR="00C2590B">
        <w:rPr>
          <w:rFonts w:ascii="Times New Roman" w:hAnsi="Times New Roman"/>
          <w:sz w:val="24"/>
          <w:szCs w:val="24"/>
        </w:rPr>
        <w:t xml:space="preserve"> </w:t>
      </w:r>
      <w:r w:rsidR="00426856">
        <w:rPr>
          <w:rFonts w:ascii="Times New Roman" w:hAnsi="Times New Roman"/>
          <w:sz w:val="24"/>
          <w:szCs w:val="24"/>
        </w:rPr>
        <w:t>Так же не</w:t>
      </w:r>
      <w:r w:rsidR="002D228D">
        <w:rPr>
          <w:rFonts w:ascii="Times New Roman" w:hAnsi="Times New Roman"/>
          <w:sz w:val="24"/>
          <w:szCs w:val="24"/>
        </w:rPr>
        <w:t xml:space="preserve">маловажными остались вопросы по порядку расчета платы за отопление и оплаты общедомовых нужд по горячему и холодному водоснабжению. </w:t>
      </w:r>
    </w:p>
    <w:p w:rsidR="002D228D" w:rsidRDefault="00861EED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по капитальному ремонту в первую очередь касаются порядка расчета платы в</w:t>
      </w:r>
      <w:r w:rsidR="00FA4F36">
        <w:rPr>
          <w:rFonts w:ascii="Times New Roman" w:hAnsi="Times New Roman"/>
          <w:sz w:val="24"/>
          <w:szCs w:val="24"/>
        </w:rPr>
        <w:t>зносов на капитальный ремонт. Чаще такие вопросы задают</w:t>
      </w:r>
      <w:r>
        <w:rPr>
          <w:rFonts w:ascii="Times New Roman" w:hAnsi="Times New Roman"/>
          <w:sz w:val="24"/>
          <w:szCs w:val="24"/>
        </w:rPr>
        <w:t xml:space="preserve"> пенсионеры и граждане, относящиеся к льготным категориям. Они интересуются наличием льгот и компенсаций по оплате взносов. Для решения таких вопросов гражданам рекомендуется обратиться в органы социальной защиты населения.</w:t>
      </w:r>
    </w:p>
    <w:p w:rsidR="007E394F" w:rsidRPr="00FD7ABC" w:rsidRDefault="006176AD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Вопросы по отоплению и водоснабжению вызваны применением порядка расчета платы, предусмотренным </w:t>
      </w:r>
      <w:r w:rsidR="006D2A5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№354 от 6 мая 2011 года «О предоставлении коммунальных услуг собственникам и пользователям помещений в многоквартирных домах и жилых домов» н</w:t>
      </w:r>
      <w:r>
        <w:rPr>
          <w:rFonts w:ascii="Times New Roman" w:hAnsi="Times New Roman"/>
          <w:sz w:val="24"/>
          <w:szCs w:val="24"/>
        </w:rPr>
        <w:t>а территории автономного округа, которое предусматривает оплату, помимо собственного потребления, общедомовых нужд, а так же оплату за отопление в зависимости от наличия и состояния общедомового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индивидуальных приборов учета.</w:t>
      </w:r>
    </w:p>
    <w:p w:rsidR="00E945CB" w:rsidRPr="00E945CB" w:rsidRDefault="00697714" w:rsidP="00E945C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95925" cy="3200400"/>
            <wp:effectExtent l="0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71B7" w:rsidRPr="004433A8" w:rsidRDefault="00697714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441960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77AB" w:rsidRDefault="00691DA8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Консульт</w:t>
      </w:r>
      <w:r w:rsidR="00133966">
        <w:rPr>
          <w:rFonts w:ascii="Times New Roman" w:hAnsi="Times New Roman"/>
          <w:sz w:val="24"/>
          <w:szCs w:val="24"/>
        </w:rPr>
        <w:t>ационно-правового центра со СМИ</w:t>
      </w:r>
      <w:r w:rsidR="00D177AB">
        <w:rPr>
          <w:rFonts w:ascii="Times New Roman" w:hAnsi="Times New Roman"/>
          <w:sz w:val="24"/>
          <w:szCs w:val="24"/>
        </w:rPr>
        <w:t>.</w:t>
      </w:r>
    </w:p>
    <w:p w:rsidR="00691DA8" w:rsidRDefault="00202F3E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A4F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FA4F36">
        <w:rPr>
          <w:rFonts w:ascii="Times New Roman" w:hAnsi="Times New Roman"/>
          <w:sz w:val="24"/>
          <w:szCs w:val="24"/>
        </w:rPr>
        <w:t>втором</w:t>
      </w:r>
      <w:r w:rsidR="000646A1">
        <w:rPr>
          <w:rFonts w:ascii="Times New Roman" w:hAnsi="Times New Roman"/>
          <w:sz w:val="24"/>
          <w:szCs w:val="24"/>
        </w:rPr>
        <w:t xml:space="preserve"> квартале 2015</w:t>
      </w:r>
      <w:r w:rsidR="00691DA8">
        <w:rPr>
          <w:rFonts w:ascii="Times New Roman" w:hAnsi="Times New Roman"/>
          <w:sz w:val="24"/>
          <w:szCs w:val="24"/>
        </w:rPr>
        <w:t xml:space="preserve"> года сотрудниками Консультационно-правового центра проводилась активная работа со средствами массовой информации автономного округа.</w:t>
      </w:r>
    </w:p>
    <w:p w:rsidR="00084A81" w:rsidRDefault="000646A1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Направлены вопросы для публикации</w:t>
      </w:r>
      <w:r w:rsidR="00691DA8">
        <w:rPr>
          <w:rFonts w:ascii="Times New Roman" w:hAnsi="Times New Roman"/>
          <w:sz w:val="24"/>
          <w:szCs w:val="24"/>
        </w:rPr>
        <w:t xml:space="preserve"> в рубрике «Коммунальный помощник» в газете «Новости Югры»</w:t>
      </w:r>
      <w:r>
        <w:rPr>
          <w:rFonts w:ascii="Times New Roman" w:hAnsi="Times New Roman"/>
          <w:sz w:val="24"/>
          <w:szCs w:val="24"/>
        </w:rPr>
        <w:t xml:space="preserve">, а так же подготовлен материал </w:t>
      </w:r>
      <w:r w:rsidR="00FA4F36">
        <w:rPr>
          <w:rFonts w:ascii="Times New Roman" w:hAnsi="Times New Roman"/>
          <w:sz w:val="24"/>
          <w:szCs w:val="24"/>
        </w:rPr>
        <w:t xml:space="preserve">об использовании колясочных в </w:t>
      </w:r>
      <w:r w:rsidR="00FA4F36">
        <w:rPr>
          <w:rFonts w:ascii="Times New Roman" w:hAnsi="Times New Roman"/>
          <w:sz w:val="24"/>
          <w:szCs w:val="24"/>
        </w:rPr>
        <w:lastRenderedPageBreak/>
        <w:t>многоквартирных домах г. Когалым</w:t>
      </w:r>
      <w:r w:rsidR="00691DA8">
        <w:rPr>
          <w:rFonts w:ascii="Times New Roman" w:hAnsi="Times New Roman"/>
          <w:sz w:val="24"/>
          <w:szCs w:val="24"/>
        </w:rPr>
        <w:t>.</w:t>
      </w:r>
      <w:proofErr w:type="gramEnd"/>
      <w:r w:rsidR="00084A81">
        <w:rPr>
          <w:rFonts w:ascii="Times New Roman" w:hAnsi="Times New Roman"/>
          <w:sz w:val="24"/>
          <w:szCs w:val="24"/>
        </w:rPr>
        <w:t xml:space="preserve"> </w:t>
      </w:r>
      <w:r w:rsidR="00792DC4">
        <w:rPr>
          <w:rFonts w:ascii="Times New Roman" w:hAnsi="Times New Roman"/>
          <w:sz w:val="24"/>
          <w:szCs w:val="24"/>
        </w:rPr>
        <w:t xml:space="preserve">Подготовлены и даны комментарии для </w:t>
      </w:r>
      <w:r>
        <w:rPr>
          <w:rFonts w:ascii="Times New Roman" w:hAnsi="Times New Roman"/>
          <w:sz w:val="24"/>
          <w:szCs w:val="24"/>
        </w:rPr>
        <w:t>1</w:t>
      </w:r>
      <w:r w:rsidR="007218B1">
        <w:rPr>
          <w:rFonts w:ascii="Times New Roman" w:hAnsi="Times New Roman"/>
          <w:sz w:val="24"/>
          <w:szCs w:val="24"/>
        </w:rPr>
        <w:t xml:space="preserve"> новостн</w:t>
      </w:r>
      <w:r>
        <w:rPr>
          <w:rFonts w:ascii="Times New Roman" w:hAnsi="Times New Roman"/>
          <w:sz w:val="24"/>
          <w:szCs w:val="24"/>
        </w:rPr>
        <w:t>ого блока</w:t>
      </w:r>
      <w:r w:rsidR="00792DC4">
        <w:rPr>
          <w:rFonts w:ascii="Times New Roman" w:hAnsi="Times New Roman"/>
          <w:sz w:val="24"/>
          <w:szCs w:val="24"/>
        </w:rPr>
        <w:t xml:space="preserve"> ТРК </w:t>
      </w:r>
      <w:r w:rsidR="00CF6609">
        <w:rPr>
          <w:rFonts w:ascii="Times New Roman" w:hAnsi="Times New Roman"/>
          <w:sz w:val="24"/>
          <w:szCs w:val="24"/>
        </w:rPr>
        <w:t>«</w:t>
      </w:r>
      <w:proofErr w:type="spellStart"/>
      <w:r w:rsidR="00792DC4">
        <w:rPr>
          <w:rFonts w:ascii="Times New Roman" w:hAnsi="Times New Roman"/>
          <w:sz w:val="24"/>
          <w:szCs w:val="24"/>
        </w:rPr>
        <w:t>Югория</w:t>
      </w:r>
      <w:proofErr w:type="spellEnd"/>
      <w:r w:rsidR="00792DC4">
        <w:rPr>
          <w:rFonts w:ascii="Times New Roman" w:hAnsi="Times New Roman"/>
          <w:sz w:val="24"/>
          <w:szCs w:val="24"/>
        </w:rPr>
        <w:t>»</w:t>
      </w:r>
      <w:r w:rsidR="00084A81">
        <w:rPr>
          <w:rFonts w:ascii="Times New Roman" w:hAnsi="Times New Roman"/>
          <w:sz w:val="24"/>
          <w:szCs w:val="24"/>
        </w:rPr>
        <w:t>.</w:t>
      </w:r>
      <w:r w:rsidR="00B74429">
        <w:rPr>
          <w:rFonts w:ascii="Times New Roman" w:hAnsi="Times New Roman"/>
          <w:sz w:val="24"/>
          <w:szCs w:val="24"/>
        </w:rPr>
        <w:t xml:space="preserve"> </w:t>
      </w:r>
      <w:r w:rsidR="007218B1">
        <w:rPr>
          <w:rFonts w:ascii="Times New Roman" w:hAnsi="Times New Roman"/>
          <w:sz w:val="24"/>
          <w:szCs w:val="24"/>
        </w:rPr>
        <w:t xml:space="preserve"> </w:t>
      </w:r>
    </w:p>
    <w:p w:rsidR="00CF6609" w:rsidRDefault="00067FAF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195F">
        <w:rPr>
          <w:rFonts w:ascii="Times New Roman" w:hAnsi="Times New Roman"/>
          <w:sz w:val="24"/>
          <w:szCs w:val="24"/>
        </w:rPr>
        <w:t>Для дальнейшего эффективного решения задач, поставленных перед Консультационно-правовым центром по вопросам ЖКХ</w:t>
      </w:r>
      <w:r w:rsidR="00C6688F">
        <w:rPr>
          <w:rFonts w:ascii="Times New Roman" w:hAnsi="Times New Roman"/>
          <w:sz w:val="24"/>
          <w:szCs w:val="24"/>
        </w:rPr>
        <w:t>,</w:t>
      </w:r>
      <w:r w:rsidRPr="0005195F">
        <w:rPr>
          <w:rFonts w:ascii="Times New Roman" w:hAnsi="Times New Roman"/>
          <w:sz w:val="24"/>
          <w:szCs w:val="24"/>
        </w:rPr>
        <w:t xml:space="preserve"> продолжается работа по повышению качества и доступности предоставления н</w:t>
      </w:r>
      <w:r w:rsidR="00CF6609">
        <w:rPr>
          <w:rFonts w:ascii="Times New Roman" w:hAnsi="Times New Roman"/>
          <w:sz w:val="24"/>
          <w:szCs w:val="24"/>
        </w:rPr>
        <w:t>аселению консультационных услуг:</w:t>
      </w:r>
      <w:r w:rsidRPr="0005195F">
        <w:rPr>
          <w:rFonts w:ascii="Times New Roman" w:hAnsi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67FAF" w:rsidRPr="0005195F">
        <w:rPr>
          <w:rFonts w:ascii="Times New Roman" w:hAnsi="Times New Roman"/>
          <w:sz w:val="24"/>
          <w:szCs w:val="24"/>
        </w:rPr>
        <w:t>асширение возможностей Центра за счет присутствия в сети Инт</w:t>
      </w:r>
      <w:r>
        <w:rPr>
          <w:rFonts w:ascii="Times New Roman" w:hAnsi="Times New Roman"/>
          <w:sz w:val="24"/>
          <w:szCs w:val="24"/>
        </w:rPr>
        <w:t>ернет;</w:t>
      </w:r>
      <w:r w:rsidR="00067FAF" w:rsidRPr="0005195F">
        <w:rPr>
          <w:rFonts w:ascii="Times New Roman" w:hAnsi="Times New Roman"/>
          <w:sz w:val="24"/>
          <w:szCs w:val="24"/>
        </w:rPr>
        <w:t> </w:t>
      </w:r>
    </w:p>
    <w:p w:rsidR="00CF6609" w:rsidRDefault="00CF6609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67FAF" w:rsidRPr="0005195F">
        <w:rPr>
          <w:rFonts w:ascii="Times New Roman" w:hAnsi="Times New Roman"/>
          <w:sz w:val="24"/>
          <w:szCs w:val="24"/>
        </w:rPr>
        <w:t>овышение взаимодействия с электронными и печатными средствами массовой информации с целью повышения правовой грамотности жителей автономного округа в части способов и пределов реализации и защиты своих прав, охраняемых законом интересов в сфере предоставл</w:t>
      </w:r>
      <w:r>
        <w:rPr>
          <w:rFonts w:ascii="Times New Roman" w:hAnsi="Times New Roman"/>
          <w:sz w:val="24"/>
          <w:szCs w:val="24"/>
        </w:rPr>
        <w:t>ения жилищно-коммунальных услуг;</w:t>
      </w:r>
      <w:r w:rsidR="00067FAF" w:rsidRPr="0005195F">
        <w:rPr>
          <w:rFonts w:ascii="Times New Roman" w:hAnsi="Times New Roman"/>
          <w:sz w:val="24"/>
          <w:szCs w:val="24"/>
        </w:rPr>
        <w:t xml:space="preserve"> </w:t>
      </w:r>
    </w:p>
    <w:p w:rsidR="00D177AB" w:rsidRPr="00867217" w:rsidRDefault="00CF6609" w:rsidP="000646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67FAF" w:rsidRPr="0005195F">
        <w:rPr>
          <w:rFonts w:ascii="Times New Roman" w:hAnsi="Times New Roman"/>
          <w:sz w:val="24"/>
          <w:szCs w:val="24"/>
        </w:rPr>
        <w:t>асширение взаимодействия с общественными организациями в области общественного контроля  деятельности предприятий жилищно-коммунального комплекса.</w:t>
      </w:r>
    </w:p>
    <w:sectPr w:rsidR="00D177AB" w:rsidRPr="00867217" w:rsidSect="00D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3321"/>
    <w:multiLevelType w:val="hybridMultilevel"/>
    <w:tmpl w:val="787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7AC5"/>
    <w:multiLevelType w:val="hybridMultilevel"/>
    <w:tmpl w:val="3A58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022"/>
    <w:rsid w:val="00014AC2"/>
    <w:rsid w:val="00017B07"/>
    <w:rsid w:val="0003114B"/>
    <w:rsid w:val="00042C0A"/>
    <w:rsid w:val="0005195F"/>
    <w:rsid w:val="0005768D"/>
    <w:rsid w:val="0006307A"/>
    <w:rsid w:val="000646A1"/>
    <w:rsid w:val="00067FAF"/>
    <w:rsid w:val="00077192"/>
    <w:rsid w:val="00084407"/>
    <w:rsid w:val="00084A81"/>
    <w:rsid w:val="000A0FDC"/>
    <w:rsid w:val="000A4D29"/>
    <w:rsid w:val="000D0022"/>
    <w:rsid w:val="000D20D7"/>
    <w:rsid w:val="000E52FF"/>
    <w:rsid w:val="000F5419"/>
    <w:rsid w:val="001129E7"/>
    <w:rsid w:val="00133966"/>
    <w:rsid w:val="001453FB"/>
    <w:rsid w:val="00145E96"/>
    <w:rsid w:val="0017103A"/>
    <w:rsid w:val="00192564"/>
    <w:rsid w:val="001974CB"/>
    <w:rsid w:val="001A49B3"/>
    <w:rsid w:val="001A7B16"/>
    <w:rsid w:val="001B0717"/>
    <w:rsid w:val="001B15CE"/>
    <w:rsid w:val="001E2874"/>
    <w:rsid w:val="00201A43"/>
    <w:rsid w:val="00202F3E"/>
    <w:rsid w:val="00227415"/>
    <w:rsid w:val="00243C8F"/>
    <w:rsid w:val="00250A85"/>
    <w:rsid w:val="002512BE"/>
    <w:rsid w:val="002547D6"/>
    <w:rsid w:val="002715EF"/>
    <w:rsid w:val="00272FDA"/>
    <w:rsid w:val="00285E8A"/>
    <w:rsid w:val="00287A01"/>
    <w:rsid w:val="00290660"/>
    <w:rsid w:val="002924B0"/>
    <w:rsid w:val="002A12A6"/>
    <w:rsid w:val="002D228D"/>
    <w:rsid w:val="00300BB2"/>
    <w:rsid w:val="00322BA1"/>
    <w:rsid w:val="00335A97"/>
    <w:rsid w:val="00336416"/>
    <w:rsid w:val="003463E4"/>
    <w:rsid w:val="00347B97"/>
    <w:rsid w:val="003617CC"/>
    <w:rsid w:val="00370502"/>
    <w:rsid w:val="0037526F"/>
    <w:rsid w:val="0037770F"/>
    <w:rsid w:val="003B5AD1"/>
    <w:rsid w:val="003E1B05"/>
    <w:rsid w:val="003E5E94"/>
    <w:rsid w:val="003F1742"/>
    <w:rsid w:val="0040095F"/>
    <w:rsid w:val="004055B4"/>
    <w:rsid w:val="004136C1"/>
    <w:rsid w:val="00413A6B"/>
    <w:rsid w:val="00423F11"/>
    <w:rsid w:val="00426856"/>
    <w:rsid w:val="004332B6"/>
    <w:rsid w:val="004433A8"/>
    <w:rsid w:val="00450214"/>
    <w:rsid w:val="00452E02"/>
    <w:rsid w:val="00453A2E"/>
    <w:rsid w:val="0046314C"/>
    <w:rsid w:val="00477BF1"/>
    <w:rsid w:val="00490906"/>
    <w:rsid w:val="004921F1"/>
    <w:rsid w:val="004A28C0"/>
    <w:rsid w:val="004A6306"/>
    <w:rsid w:val="004B59AA"/>
    <w:rsid w:val="004E5DD7"/>
    <w:rsid w:val="004E7DDC"/>
    <w:rsid w:val="00503508"/>
    <w:rsid w:val="0050404E"/>
    <w:rsid w:val="005042DE"/>
    <w:rsid w:val="00513DCA"/>
    <w:rsid w:val="0053282A"/>
    <w:rsid w:val="005469AA"/>
    <w:rsid w:val="00564046"/>
    <w:rsid w:val="00575125"/>
    <w:rsid w:val="00591157"/>
    <w:rsid w:val="005A0436"/>
    <w:rsid w:val="005A355F"/>
    <w:rsid w:val="005A3E75"/>
    <w:rsid w:val="005C27C4"/>
    <w:rsid w:val="005D0798"/>
    <w:rsid w:val="005D22D2"/>
    <w:rsid w:val="005F2490"/>
    <w:rsid w:val="005F3827"/>
    <w:rsid w:val="0060388E"/>
    <w:rsid w:val="00603A99"/>
    <w:rsid w:val="00613992"/>
    <w:rsid w:val="006168DD"/>
    <w:rsid w:val="006176AD"/>
    <w:rsid w:val="00691DA8"/>
    <w:rsid w:val="00697714"/>
    <w:rsid w:val="006A3630"/>
    <w:rsid w:val="006B30B3"/>
    <w:rsid w:val="006C05F9"/>
    <w:rsid w:val="006C187C"/>
    <w:rsid w:val="006C74CE"/>
    <w:rsid w:val="006D2A5F"/>
    <w:rsid w:val="00707098"/>
    <w:rsid w:val="007218B1"/>
    <w:rsid w:val="007265F6"/>
    <w:rsid w:val="0073359B"/>
    <w:rsid w:val="00763900"/>
    <w:rsid w:val="007777FB"/>
    <w:rsid w:val="00786915"/>
    <w:rsid w:val="00792DC4"/>
    <w:rsid w:val="007B2D3C"/>
    <w:rsid w:val="007C1059"/>
    <w:rsid w:val="007E394F"/>
    <w:rsid w:val="007F1991"/>
    <w:rsid w:val="00807672"/>
    <w:rsid w:val="0081059B"/>
    <w:rsid w:val="008146DE"/>
    <w:rsid w:val="00816541"/>
    <w:rsid w:val="008241FA"/>
    <w:rsid w:val="008343D7"/>
    <w:rsid w:val="00843C56"/>
    <w:rsid w:val="00855462"/>
    <w:rsid w:val="00861EED"/>
    <w:rsid w:val="00867217"/>
    <w:rsid w:val="0087334C"/>
    <w:rsid w:val="00875B7E"/>
    <w:rsid w:val="008D57D6"/>
    <w:rsid w:val="008D59E9"/>
    <w:rsid w:val="008D625A"/>
    <w:rsid w:val="008F0CDF"/>
    <w:rsid w:val="0090599E"/>
    <w:rsid w:val="009211CD"/>
    <w:rsid w:val="00935DBC"/>
    <w:rsid w:val="009447D8"/>
    <w:rsid w:val="00977821"/>
    <w:rsid w:val="00990D15"/>
    <w:rsid w:val="00996D7E"/>
    <w:rsid w:val="009B1276"/>
    <w:rsid w:val="009B5CAA"/>
    <w:rsid w:val="009B6281"/>
    <w:rsid w:val="009D3978"/>
    <w:rsid w:val="009E1CA4"/>
    <w:rsid w:val="009F5065"/>
    <w:rsid w:val="00A13605"/>
    <w:rsid w:val="00A24B52"/>
    <w:rsid w:val="00A33C96"/>
    <w:rsid w:val="00A45671"/>
    <w:rsid w:val="00A53324"/>
    <w:rsid w:val="00A557FC"/>
    <w:rsid w:val="00A70A7E"/>
    <w:rsid w:val="00A70EAE"/>
    <w:rsid w:val="00A8027F"/>
    <w:rsid w:val="00A86410"/>
    <w:rsid w:val="00A95F47"/>
    <w:rsid w:val="00A97BFA"/>
    <w:rsid w:val="00AB182E"/>
    <w:rsid w:val="00AB59C8"/>
    <w:rsid w:val="00AD30B4"/>
    <w:rsid w:val="00AE0D03"/>
    <w:rsid w:val="00AF5255"/>
    <w:rsid w:val="00B16558"/>
    <w:rsid w:val="00B31EEE"/>
    <w:rsid w:val="00B44709"/>
    <w:rsid w:val="00B521A3"/>
    <w:rsid w:val="00B52B4A"/>
    <w:rsid w:val="00B55ED4"/>
    <w:rsid w:val="00B60420"/>
    <w:rsid w:val="00B6575E"/>
    <w:rsid w:val="00B677EC"/>
    <w:rsid w:val="00B7178E"/>
    <w:rsid w:val="00B71B7F"/>
    <w:rsid w:val="00B74429"/>
    <w:rsid w:val="00B8422A"/>
    <w:rsid w:val="00BA0F77"/>
    <w:rsid w:val="00BA57AF"/>
    <w:rsid w:val="00BB4B92"/>
    <w:rsid w:val="00BB4F03"/>
    <w:rsid w:val="00BC543B"/>
    <w:rsid w:val="00BD2A1F"/>
    <w:rsid w:val="00BD375C"/>
    <w:rsid w:val="00BD3F42"/>
    <w:rsid w:val="00BF0A20"/>
    <w:rsid w:val="00BF50D5"/>
    <w:rsid w:val="00C1270B"/>
    <w:rsid w:val="00C16C0B"/>
    <w:rsid w:val="00C2499F"/>
    <w:rsid w:val="00C2590B"/>
    <w:rsid w:val="00C44E06"/>
    <w:rsid w:val="00C5687A"/>
    <w:rsid w:val="00C6688F"/>
    <w:rsid w:val="00C73E86"/>
    <w:rsid w:val="00C740A0"/>
    <w:rsid w:val="00C871B7"/>
    <w:rsid w:val="00CD3EF5"/>
    <w:rsid w:val="00CF3962"/>
    <w:rsid w:val="00CF6609"/>
    <w:rsid w:val="00D0639B"/>
    <w:rsid w:val="00D11663"/>
    <w:rsid w:val="00D177AB"/>
    <w:rsid w:val="00D37E2D"/>
    <w:rsid w:val="00D41B0D"/>
    <w:rsid w:val="00D51917"/>
    <w:rsid w:val="00D906E7"/>
    <w:rsid w:val="00D972FC"/>
    <w:rsid w:val="00DA195D"/>
    <w:rsid w:val="00DB64FC"/>
    <w:rsid w:val="00DD1228"/>
    <w:rsid w:val="00DD733A"/>
    <w:rsid w:val="00DF2C83"/>
    <w:rsid w:val="00DF3912"/>
    <w:rsid w:val="00DF698A"/>
    <w:rsid w:val="00DF6D10"/>
    <w:rsid w:val="00E0450C"/>
    <w:rsid w:val="00E109F0"/>
    <w:rsid w:val="00E32E87"/>
    <w:rsid w:val="00E35947"/>
    <w:rsid w:val="00E55A71"/>
    <w:rsid w:val="00E757F7"/>
    <w:rsid w:val="00E77CF7"/>
    <w:rsid w:val="00E9078D"/>
    <w:rsid w:val="00E945CB"/>
    <w:rsid w:val="00EA47F6"/>
    <w:rsid w:val="00EA6EC5"/>
    <w:rsid w:val="00ED26A9"/>
    <w:rsid w:val="00EE11DB"/>
    <w:rsid w:val="00EE7E32"/>
    <w:rsid w:val="00EF1FC9"/>
    <w:rsid w:val="00EF60AF"/>
    <w:rsid w:val="00F00FBC"/>
    <w:rsid w:val="00F06D9F"/>
    <w:rsid w:val="00F21E6C"/>
    <w:rsid w:val="00F707B0"/>
    <w:rsid w:val="00F81E09"/>
    <w:rsid w:val="00F832F5"/>
    <w:rsid w:val="00F90671"/>
    <w:rsid w:val="00F96B63"/>
    <w:rsid w:val="00FA3BE8"/>
    <w:rsid w:val="00FA4F36"/>
    <w:rsid w:val="00FB1684"/>
    <w:rsid w:val="00FD371E"/>
    <w:rsid w:val="00FD7ABC"/>
    <w:rsid w:val="00FD7EAF"/>
    <w:rsid w:val="00FF1DF6"/>
    <w:rsid w:val="00FF733D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gkh.ru/jku/consultation/a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opros-jkh@adminugr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вопросов граждан во 2 кв. 2011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25</c:v>
                </c:pt>
                <c:pt idx="2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вопросов граждан во 2 кв. 2012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161</c:v>
                </c:pt>
                <c:pt idx="1">
                  <c:v>73</c:v>
                </c:pt>
                <c:pt idx="2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вопросов граждан во 2 кв. 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191</c:v>
                </c:pt>
                <c:pt idx="1">
                  <c:v>114</c:v>
                </c:pt>
                <c:pt idx="2">
                  <c:v>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обращений граждан во 2 кв. 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93</c:v>
                </c:pt>
                <c:pt idx="1">
                  <c:v>69</c:v>
                </c:pt>
                <c:pt idx="2">
                  <c:v>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Количество обращений граждан во 2 кв. 2015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128</c:v>
                </c:pt>
                <c:pt idx="1">
                  <c:v>72</c:v>
                </c:pt>
                <c:pt idx="2">
                  <c:v>52</c:v>
                </c:pt>
              </c:numCache>
            </c:numRef>
          </c:val>
        </c:ser>
        <c:dLbls>
          <c:showVal val="1"/>
        </c:dLbls>
        <c:gapWidth val="75"/>
        <c:axId val="42226048"/>
        <c:axId val="65340160"/>
      </c:barChart>
      <c:catAx>
        <c:axId val="42226048"/>
        <c:scaling>
          <c:orientation val="minMax"/>
        </c:scaling>
        <c:axPos val="b"/>
        <c:numFmt formatCode="General" sourceLinked="1"/>
        <c:majorTickMark val="none"/>
        <c:tickLblPos val="nextTo"/>
        <c:crossAx val="65340160"/>
        <c:crosses val="autoZero"/>
        <c:auto val="1"/>
        <c:lblAlgn val="ctr"/>
        <c:lblOffset val="100"/>
      </c:catAx>
      <c:valAx>
        <c:axId val="65340160"/>
        <c:scaling>
          <c:orientation val="minMax"/>
        </c:scaling>
        <c:axPos val="l"/>
        <c:numFmt formatCode="General" sourceLinked="1"/>
        <c:majorTickMark val="none"/>
        <c:tickLblPos val="nextTo"/>
        <c:crossAx val="4222604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Нижневартовск</c:v>
                </c:pt>
                <c:pt idx="3">
                  <c:v>Сургутский р-н</c:v>
                </c:pt>
                <c:pt idx="4">
                  <c:v>Советский р-н</c:v>
                </c:pt>
                <c:pt idx="5">
                  <c:v>Нягань</c:v>
                </c:pt>
                <c:pt idx="6">
                  <c:v>Мегион</c:v>
                </c:pt>
                <c:pt idx="7">
                  <c:v>Урай</c:v>
                </c:pt>
                <c:pt idx="8">
                  <c:v>Нефтеюганск</c:v>
                </c:pt>
                <c:pt idx="9">
                  <c:v>Октябрьский р-н</c:v>
                </c:pt>
                <c:pt idx="10">
                  <c:v>Пыть-Ях</c:v>
                </c:pt>
                <c:pt idx="11">
                  <c:v>Югорск</c:v>
                </c:pt>
                <c:pt idx="12">
                  <c:v>Березовский р-н</c:v>
                </c:pt>
                <c:pt idx="13">
                  <c:v>Когалым</c:v>
                </c:pt>
                <c:pt idx="14">
                  <c:v>Покачи</c:v>
                </c:pt>
                <c:pt idx="15">
                  <c:v>Белоярский р-н</c:v>
                </c:pt>
                <c:pt idx="16">
                  <c:v>Кондинский р-н</c:v>
                </c:pt>
                <c:pt idx="17">
                  <c:v>Нижневартовский р-н</c:v>
                </c:pt>
                <c:pt idx="18">
                  <c:v>Ханты-Мансийский р-н</c:v>
                </c:pt>
                <c:pt idx="19">
                  <c:v>Радужный</c:v>
                </c:pt>
                <c:pt idx="20">
                  <c:v>Нефтеюганский р-н</c:v>
                </c:pt>
                <c:pt idx="21">
                  <c:v>Лангепас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88</c:v>
                </c:pt>
                <c:pt idx="1">
                  <c:v>25</c:v>
                </c:pt>
                <c:pt idx="2">
                  <c:v>23</c:v>
                </c:pt>
                <c:pt idx="3">
                  <c:v>20</c:v>
                </c:pt>
                <c:pt idx="4">
                  <c:v>16</c:v>
                </c:pt>
                <c:pt idx="5">
                  <c:v>9</c:v>
                </c:pt>
                <c:pt idx="6">
                  <c:v>9</c:v>
                </c:pt>
                <c:pt idx="7">
                  <c:v>7</c:v>
                </c:pt>
                <c:pt idx="8">
                  <c:v>7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dLbls>
          <c:showVal val="1"/>
        </c:dLbls>
        <c:gapWidth val="75"/>
        <c:axId val="72020352"/>
        <c:axId val="72021888"/>
      </c:barChart>
      <c:catAx>
        <c:axId val="72020352"/>
        <c:scaling>
          <c:orientation val="minMax"/>
        </c:scaling>
        <c:axPos val="b"/>
        <c:numFmt formatCode="General" sourceLinked="1"/>
        <c:majorTickMark val="none"/>
        <c:tickLblPos val="nextTo"/>
        <c:crossAx val="72021888"/>
        <c:crosses val="autoZero"/>
        <c:auto val="1"/>
        <c:lblAlgn val="ctr"/>
        <c:lblOffset val="100"/>
      </c:catAx>
      <c:valAx>
        <c:axId val="72021888"/>
        <c:scaling>
          <c:orientation val="minMax"/>
        </c:scaling>
        <c:axPos val="l"/>
        <c:numFmt formatCode="General" sourceLinked="1"/>
        <c:majorTickMark val="none"/>
        <c:tickLblPos val="nextTo"/>
        <c:crossAx val="72020352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8750000000000017"/>
          <c:y val="0.30456349206349231"/>
          <c:w val="0.65972222222222265"/>
          <c:h val="0.632936507936507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Теметика </c:v>
                </c:pt>
              </c:strCache>
            </c:strRef>
          </c:tx>
          <c:dLbls>
            <c:dLbl>
              <c:idx val="0"/>
              <c:layout>
                <c:manualLayout>
                  <c:x val="8.7467259833422031E-2"/>
                  <c:y val="1.0637107861517317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3.2037373144648096E-3"/>
                  <c:y val="4.9855330583677041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2.0706068587180514E-2"/>
                  <c:y val="-1.3492063492063497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6.3008865659556851E-2"/>
                  <c:y val="0.13730814898137739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2.445866710335385E-2"/>
                  <c:y val="0.2190335583052119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1.1337854865195581E-2"/>
                  <c:y val="-8.8547056617922767E-2"/>
                </c:manualLayout>
              </c:layout>
              <c:showCatName val="1"/>
              <c:showPercent val="1"/>
            </c:dLbl>
            <c:dLbl>
              <c:idx val="9"/>
              <c:layout>
                <c:manualLayout>
                  <c:x val="0.13949316993954611"/>
                  <c:y val="-0.1287373453318335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Газоснабжение
2%</a:t>
                    </a:r>
                  </a:p>
                </c:rich>
              </c:tx>
              <c:spPr/>
            </c:dLbl>
            <c:dLbl>
              <c:idx val="10"/>
              <c:layout>
                <c:manualLayout>
                  <c:x val="0.20176730941561249"/>
                  <c:y val="-9.217472815898017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Иные
4%</a:t>
                    </a:r>
                  </a:p>
                </c:rich>
              </c:tx>
              <c:spPr/>
            </c:dLbl>
            <c:showCatName val="1"/>
            <c:showPercent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Капитальный ремонт</c:v>
                </c:pt>
                <c:pt idx="1">
                  <c:v>Ремонт и содержание</c:v>
                </c:pt>
                <c:pt idx="2">
                  <c:v>Отопление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Управление МКД</c:v>
                </c:pt>
                <c:pt idx="6">
                  <c:v>Электроснабжение</c:v>
                </c:pt>
                <c:pt idx="7">
                  <c:v>Установка приборов учета</c:v>
                </c:pt>
                <c:pt idx="8">
                  <c:v>Водоотведение</c:v>
                </c:pt>
                <c:pt idx="9">
                  <c:v>Газоснабжение</c:v>
                </c:pt>
                <c:pt idx="10">
                  <c:v>Иные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87</c:v>
                </c:pt>
                <c:pt idx="1">
                  <c:v>50</c:v>
                </c:pt>
                <c:pt idx="2">
                  <c:v>36</c:v>
                </c:pt>
                <c:pt idx="3">
                  <c:v>33</c:v>
                </c:pt>
                <c:pt idx="4">
                  <c:v>27</c:v>
                </c:pt>
                <c:pt idx="5">
                  <c:v>12</c:v>
                </c:pt>
                <c:pt idx="6">
                  <c:v>8</c:v>
                </c:pt>
                <c:pt idx="7">
                  <c:v>8</c:v>
                </c:pt>
                <c:pt idx="8">
                  <c:v>5</c:v>
                </c:pt>
                <c:pt idx="9">
                  <c:v>4</c:v>
                </c:pt>
                <c:pt idx="10">
                  <c:v>14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396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предоставления услуг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Капитальный ремонт</c:v>
                </c:pt>
                <c:pt idx="1">
                  <c:v>Ремонт и содержание</c:v>
                </c:pt>
                <c:pt idx="2">
                  <c:v>Отопление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Электроснабжение</c:v>
                </c:pt>
                <c:pt idx="6">
                  <c:v>Установка приборов</c:v>
                </c:pt>
                <c:pt idx="7">
                  <c:v>Водоотведение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35</c:v>
                </c:pt>
                <c:pt idx="2">
                  <c:v>11</c:v>
                </c:pt>
                <c:pt idx="3">
                  <c:v>14</c:v>
                </c:pt>
                <c:pt idx="4">
                  <c:v>7</c:v>
                </c:pt>
                <c:pt idx="5">
                  <c:v>1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Порядок расчета платы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Капитальный ремонт</c:v>
                </c:pt>
                <c:pt idx="1">
                  <c:v>Ремонт и содержание</c:v>
                </c:pt>
                <c:pt idx="2">
                  <c:v>Отопление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Электроснабжение</c:v>
                </c:pt>
                <c:pt idx="6">
                  <c:v>Установка приборов</c:v>
                </c:pt>
                <c:pt idx="7">
                  <c:v>Водоотведение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83</c:v>
                </c:pt>
                <c:pt idx="1">
                  <c:v>14</c:v>
                </c:pt>
                <c:pt idx="2">
                  <c:v>25</c:v>
                </c:pt>
                <c:pt idx="3">
                  <c:v>19</c:v>
                </c:pt>
                <c:pt idx="4">
                  <c:v>20</c:v>
                </c:pt>
                <c:pt idx="5">
                  <c:v>7</c:v>
                </c:pt>
                <c:pt idx="6">
                  <c:v>5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gapWidth val="75"/>
        <c:axId val="93378048"/>
        <c:axId val="93379584"/>
      </c:barChart>
      <c:catAx>
        <c:axId val="93378048"/>
        <c:scaling>
          <c:orientation val="minMax"/>
        </c:scaling>
        <c:axPos val="b"/>
        <c:numFmt formatCode="General" sourceLinked="1"/>
        <c:majorTickMark val="none"/>
        <c:tickLblPos val="nextTo"/>
        <c:crossAx val="93379584"/>
        <c:crosses val="autoZero"/>
        <c:auto val="1"/>
        <c:lblAlgn val="ctr"/>
        <c:lblOffset val="100"/>
      </c:catAx>
      <c:valAx>
        <c:axId val="93379584"/>
        <c:scaling>
          <c:orientation val="minMax"/>
        </c:scaling>
        <c:axPos val="l"/>
        <c:numFmt formatCode="General" sourceLinked="1"/>
        <c:majorTickMark val="none"/>
        <c:tickLblPos val="nextTo"/>
        <c:crossAx val="9337804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CB10-7054-4E52-B22E-A98C7282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РИУ</Company>
  <LinksUpToDate>false</LinksUpToDate>
  <CharactersWithSpaces>4485</CharactersWithSpaces>
  <SharedDoc>false</SharedDoc>
  <HLinks>
    <vt:vector size="12" baseType="variant"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http://www.86gkh.ru/jku/consultation/ask/</vt:lpwstr>
      </vt:variant>
      <vt:variant>
        <vt:lpwstr/>
      </vt:variant>
      <vt:variant>
        <vt:i4>6029360</vt:i4>
      </vt:variant>
      <vt:variant>
        <vt:i4>3</vt:i4>
      </vt:variant>
      <vt:variant>
        <vt:i4>0</vt:i4>
      </vt:variant>
      <vt:variant>
        <vt:i4>5</vt:i4>
      </vt:variant>
      <vt:variant>
        <vt:lpwstr>mailto:vopros-jkh@adminugra.ru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I.Turygin</dc:creator>
  <cp:keywords/>
  <dc:description/>
  <cp:lastModifiedBy>Baldina_PC</cp:lastModifiedBy>
  <cp:revision>18</cp:revision>
  <dcterms:created xsi:type="dcterms:W3CDTF">2015-04-03T10:32:00Z</dcterms:created>
  <dcterms:modified xsi:type="dcterms:W3CDTF">2015-07-09T06:39:00Z</dcterms:modified>
</cp:coreProperties>
</file>