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22" w:rsidRDefault="000D0022" w:rsidP="000D00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Консультационно-пр</w:t>
      </w:r>
      <w:r w:rsidR="002547D6">
        <w:rPr>
          <w:rFonts w:ascii="Times New Roman" w:hAnsi="Times New Roman" w:cs="Times New Roman"/>
          <w:b/>
          <w:sz w:val="24"/>
          <w:szCs w:val="24"/>
        </w:rPr>
        <w:t>авового центра во 2</w:t>
      </w:r>
      <w:r w:rsidR="008D625A">
        <w:rPr>
          <w:rFonts w:ascii="Times New Roman" w:hAnsi="Times New Roman" w:cs="Times New Roman"/>
          <w:b/>
          <w:sz w:val="24"/>
          <w:szCs w:val="24"/>
        </w:rPr>
        <w:t xml:space="preserve"> квартале 2014</w:t>
      </w:r>
      <w:r w:rsidR="00CF6609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0D0022" w:rsidRDefault="002547D6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течение второго</w:t>
      </w:r>
      <w:r w:rsidR="008D625A">
        <w:rPr>
          <w:rFonts w:ascii="Times New Roman" w:hAnsi="Times New Roman" w:cs="Times New Roman"/>
          <w:sz w:val="24"/>
          <w:szCs w:val="24"/>
        </w:rPr>
        <w:t xml:space="preserve"> квартала 2014</w:t>
      </w:r>
      <w:r w:rsidR="00CF6609">
        <w:rPr>
          <w:rFonts w:ascii="Times New Roman" w:hAnsi="Times New Roman" w:cs="Times New Roman"/>
          <w:sz w:val="24"/>
          <w:szCs w:val="24"/>
        </w:rPr>
        <w:t xml:space="preserve"> года</w:t>
      </w:r>
      <w:r w:rsidR="000D0022">
        <w:rPr>
          <w:rFonts w:ascii="Times New Roman" w:hAnsi="Times New Roman" w:cs="Times New Roman"/>
          <w:sz w:val="24"/>
          <w:szCs w:val="24"/>
        </w:rPr>
        <w:t xml:space="preserve"> специалистами </w:t>
      </w:r>
      <w:r w:rsidR="00CF6609">
        <w:rPr>
          <w:rFonts w:ascii="Times New Roman" w:hAnsi="Times New Roman" w:cs="Times New Roman"/>
          <w:sz w:val="24"/>
          <w:szCs w:val="24"/>
        </w:rPr>
        <w:t>Ц</w:t>
      </w:r>
      <w:r w:rsidR="000D0022">
        <w:rPr>
          <w:rFonts w:ascii="Times New Roman" w:hAnsi="Times New Roman" w:cs="Times New Roman"/>
          <w:sz w:val="24"/>
          <w:szCs w:val="24"/>
        </w:rPr>
        <w:t>ентра проведена активная комплексная р</w:t>
      </w:r>
      <w:r w:rsidR="00CF6609">
        <w:rPr>
          <w:rFonts w:ascii="Times New Roman" w:hAnsi="Times New Roman" w:cs="Times New Roman"/>
          <w:sz w:val="24"/>
          <w:szCs w:val="24"/>
        </w:rPr>
        <w:t>абота по обеспечению выполнения</w:t>
      </w:r>
      <w:r w:rsidR="000D0022">
        <w:rPr>
          <w:rFonts w:ascii="Times New Roman" w:hAnsi="Times New Roman" w:cs="Times New Roman"/>
          <w:sz w:val="24"/>
          <w:szCs w:val="24"/>
        </w:rPr>
        <w:t xml:space="preserve"> поставленных целей и задач.</w:t>
      </w:r>
    </w:p>
    <w:p w:rsidR="000D0022" w:rsidRDefault="000D0022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Консультационная деятельность </w:t>
      </w:r>
      <w:r w:rsidR="00CF6609"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sz w:val="24"/>
          <w:szCs w:val="24"/>
        </w:rPr>
        <w:t>ентра.</w:t>
      </w:r>
    </w:p>
    <w:p w:rsidR="00DD733A" w:rsidRDefault="002547D6" w:rsidP="000D002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 втором</w:t>
      </w:r>
      <w:r w:rsidR="008D625A">
        <w:rPr>
          <w:rFonts w:ascii="Times New Roman" w:hAnsi="Times New Roman" w:cs="Times New Roman"/>
          <w:sz w:val="24"/>
          <w:szCs w:val="24"/>
        </w:rPr>
        <w:t xml:space="preserve"> квартале 2014</w:t>
      </w:r>
      <w:r w:rsidR="000D0022">
        <w:rPr>
          <w:rFonts w:ascii="Times New Roman" w:hAnsi="Times New Roman" w:cs="Times New Roman"/>
          <w:sz w:val="24"/>
          <w:szCs w:val="24"/>
        </w:rPr>
        <w:t xml:space="preserve"> года в Консультационно-правовой центр по вопросам защиты и обеспечения прав граждан при предоставлении жилищно-коммунальных услуг Ханты-Мансийского автономного округа – Югры </w:t>
      </w:r>
      <w:r w:rsidR="00C740A0">
        <w:rPr>
          <w:rFonts w:ascii="Times New Roman" w:hAnsi="Times New Roman" w:cs="Times New Roman"/>
          <w:sz w:val="24"/>
          <w:szCs w:val="24"/>
        </w:rPr>
        <w:t>обратилось</w:t>
      </w:r>
      <w:r>
        <w:rPr>
          <w:rFonts w:ascii="Times New Roman" w:hAnsi="Times New Roman" w:cs="Times New Roman"/>
          <w:sz w:val="24"/>
          <w:szCs w:val="24"/>
        </w:rPr>
        <w:t xml:space="preserve"> 248</w:t>
      </w:r>
      <w:r w:rsidR="000D0022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="00202F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</w:t>
      </w:r>
      <w:r w:rsidR="00591157">
        <w:rPr>
          <w:rFonts w:ascii="Times New Roman" w:hAnsi="Times New Roman" w:cs="Times New Roman"/>
          <w:sz w:val="24"/>
          <w:szCs w:val="24"/>
        </w:rPr>
        <w:t>о 234</w:t>
      </w:r>
      <w:r w:rsidR="00202F3E">
        <w:rPr>
          <w:rFonts w:ascii="Times New Roman" w:hAnsi="Times New Roman" w:cs="Times New Roman"/>
          <w:sz w:val="24"/>
          <w:szCs w:val="24"/>
        </w:rPr>
        <w:t xml:space="preserve"> консультаци</w:t>
      </w:r>
      <w:r w:rsidR="00CF6609">
        <w:rPr>
          <w:rFonts w:ascii="Times New Roman" w:hAnsi="Times New Roman" w:cs="Times New Roman"/>
          <w:sz w:val="24"/>
          <w:szCs w:val="24"/>
        </w:rPr>
        <w:t>и</w:t>
      </w:r>
      <w:r w:rsidR="00202F3E">
        <w:rPr>
          <w:rFonts w:ascii="Times New Roman" w:hAnsi="Times New Roman" w:cs="Times New Roman"/>
          <w:sz w:val="24"/>
          <w:szCs w:val="24"/>
        </w:rPr>
        <w:t xml:space="preserve"> гражданам</w:t>
      </w:r>
      <w:r w:rsidR="00591157">
        <w:rPr>
          <w:rFonts w:ascii="Times New Roman" w:hAnsi="Times New Roman" w:cs="Times New Roman"/>
          <w:sz w:val="24"/>
          <w:szCs w:val="24"/>
        </w:rPr>
        <w:t>, в том числе по 21 вопросу, поступившему в 1 квартале 2014 года</w:t>
      </w:r>
      <w:r w:rsidR="00202F3E">
        <w:rPr>
          <w:rFonts w:ascii="Times New Roman" w:hAnsi="Times New Roman" w:cs="Times New Roman"/>
          <w:sz w:val="24"/>
          <w:szCs w:val="24"/>
        </w:rPr>
        <w:t xml:space="preserve">. Для дополнительного рассмотрения в </w:t>
      </w:r>
      <w:r w:rsidR="005A3E75">
        <w:rPr>
          <w:rFonts w:ascii="Times New Roman" w:hAnsi="Times New Roman" w:cs="Times New Roman"/>
          <w:sz w:val="24"/>
          <w:szCs w:val="24"/>
        </w:rPr>
        <w:t>работу муниципальных образований автон</w:t>
      </w:r>
      <w:r>
        <w:rPr>
          <w:rFonts w:ascii="Times New Roman" w:hAnsi="Times New Roman" w:cs="Times New Roman"/>
          <w:sz w:val="24"/>
          <w:szCs w:val="24"/>
        </w:rPr>
        <w:t>омного округа было направлено 14 обращений</w:t>
      </w:r>
      <w:r w:rsidR="005A3E75">
        <w:rPr>
          <w:rFonts w:ascii="Times New Roman" w:hAnsi="Times New Roman" w:cs="Times New Roman"/>
          <w:sz w:val="24"/>
          <w:szCs w:val="24"/>
        </w:rPr>
        <w:t xml:space="preserve"> граждан.</w:t>
      </w:r>
      <w:r w:rsidR="00202F3E">
        <w:rPr>
          <w:rFonts w:ascii="Times New Roman" w:hAnsi="Times New Roman" w:cs="Times New Roman"/>
          <w:sz w:val="24"/>
          <w:szCs w:val="24"/>
        </w:rPr>
        <w:t xml:space="preserve"> </w:t>
      </w:r>
      <w:r w:rsidR="000D0022">
        <w:rPr>
          <w:rFonts w:ascii="Times New Roman" w:hAnsi="Times New Roman" w:cs="Times New Roman"/>
          <w:sz w:val="24"/>
          <w:szCs w:val="24"/>
        </w:rPr>
        <w:t xml:space="preserve"> За аналогичный период прошлого года </w:t>
      </w:r>
      <w:r w:rsidR="00C740A0">
        <w:rPr>
          <w:rFonts w:ascii="Times New Roman" w:hAnsi="Times New Roman" w:cs="Times New Roman"/>
          <w:sz w:val="24"/>
          <w:szCs w:val="24"/>
        </w:rPr>
        <w:t>обратилось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404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 w:rsidR="00C740A0">
        <w:rPr>
          <w:rFonts w:ascii="Times New Roman" w:hAnsi="Times New Roman" w:cs="Times New Roman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>ина</w:t>
      </w:r>
      <w:r w:rsidR="008D625A">
        <w:rPr>
          <w:rFonts w:ascii="Times New Roman" w:hAnsi="Times New Roman" w:cs="Times New Roman"/>
          <w:sz w:val="24"/>
          <w:szCs w:val="24"/>
        </w:rPr>
        <w:t>.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 w:rsidR="008D625A">
        <w:rPr>
          <w:rFonts w:ascii="Times New Roman" w:hAnsi="Times New Roman" w:cs="Times New Roman"/>
          <w:sz w:val="24"/>
          <w:szCs w:val="24"/>
        </w:rPr>
        <w:t xml:space="preserve">Большее количество </w:t>
      </w:r>
      <w:r w:rsidR="003E5E94">
        <w:rPr>
          <w:rFonts w:ascii="Times New Roman" w:hAnsi="Times New Roman" w:cs="Times New Roman"/>
          <w:sz w:val="24"/>
          <w:szCs w:val="24"/>
        </w:rPr>
        <w:t xml:space="preserve">вопросов граждан </w:t>
      </w:r>
      <w:r w:rsidR="008D625A">
        <w:rPr>
          <w:rFonts w:ascii="Times New Roman" w:hAnsi="Times New Roman" w:cs="Times New Roman"/>
          <w:sz w:val="24"/>
          <w:szCs w:val="24"/>
        </w:rPr>
        <w:t xml:space="preserve">в 2013 году было вызвано </w:t>
      </w:r>
      <w:r w:rsidR="003E5E94">
        <w:rPr>
          <w:rFonts w:ascii="Times New Roman" w:hAnsi="Times New Roman" w:cs="Times New Roman"/>
          <w:sz w:val="24"/>
          <w:szCs w:val="24"/>
        </w:rPr>
        <w:t>вступление</w:t>
      </w:r>
      <w:r w:rsidR="008D625A">
        <w:rPr>
          <w:rFonts w:ascii="Times New Roman" w:hAnsi="Times New Roman" w:cs="Times New Roman"/>
          <w:sz w:val="24"/>
          <w:szCs w:val="24"/>
        </w:rPr>
        <w:t>м</w:t>
      </w:r>
      <w:r w:rsidR="003E5E94">
        <w:rPr>
          <w:rFonts w:ascii="Times New Roman" w:hAnsi="Times New Roman" w:cs="Times New Roman"/>
          <w:sz w:val="24"/>
          <w:szCs w:val="24"/>
        </w:rPr>
        <w:t xml:space="preserve"> в силу</w:t>
      </w:r>
      <w:r w:rsidR="00DF6D10">
        <w:rPr>
          <w:rFonts w:ascii="Times New Roman" w:hAnsi="Times New Roman" w:cs="Times New Roman"/>
          <w:sz w:val="24"/>
          <w:szCs w:val="24"/>
        </w:rPr>
        <w:t xml:space="preserve"> </w:t>
      </w:r>
      <w:r w:rsidR="003E5E94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тановления Правительства РФ №344</w:t>
      </w:r>
      <w:r w:rsidR="003E5E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16 апреля 2013 года </w:t>
      </w:r>
      <w:r w:rsidR="003E5E94">
        <w:rPr>
          <w:rFonts w:ascii="Times New Roman" w:hAnsi="Times New Roman" w:cs="Times New Roman"/>
          <w:sz w:val="24"/>
          <w:szCs w:val="24"/>
        </w:rPr>
        <w:t xml:space="preserve">«О </w:t>
      </w:r>
      <w:r>
        <w:rPr>
          <w:rFonts w:ascii="Times New Roman" w:hAnsi="Times New Roman" w:cs="Times New Roman"/>
          <w:sz w:val="24"/>
          <w:szCs w:val="24"/>
        </w:rPr>
        <w:t>внесении изменений в некоторые акты Правительства Российской Федерации по вопросам предоставления коммунальных услуг</w:t>
      </w:r>
      <w:r w:rsidR="003E5E94">
        <w:rPr>
          <w:rFonts w:ascii="Times New Roman" w:hAnsi="Times New Roman" w:cs="Times New Roman"/>
          <w:sz w:val="24"/>
          <w:szCs w:val="24"/>
        </w:rPr>
        <w:t>»</w:t>
      </w:r>
      <w:r w:rsidR="008D625A">
        <w:rPr>
          <w:rFonts w:ascii="Times New Roman" w:hAnsi="Times New Roman" w:cs="Times New Roman"/>
          <w:sz w:val="24"/>
          <w:szCs w:val="24"/>
        </w:rPr>
        <w:t>.</w:t>
      </w:r>
    </w:p>
    <w:p w:rsidR="009447D8" w:rsidRPr="009447D8" w:rsidRDefault="002924B0" w:rsidP="000D00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D30B4" w:rsidRDefault="00AD30B4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Обратиться в Консультационный центр граждане могут</w:t>
      </w:r>
      <w:r w:rsidR="00CF660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позвонив на телефон «горячей линии» 8 800 10 10</w:t>
      </w:r>
      <w:r w:rsidR="00DB64FC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086</w:t>
      </w:r>
      <w:r w:rsidR="00DB64FC">
        <w:rPr>
          <w:rFonts w:ascii="Times New Roman" w:hAnsi="Times New Roman" w:cs="Times New Roman"/>
          <w:sz w:val="24"/>
          <w:szCs w:val="24"/>
        </w:rPr>
        <w:t xml:space="preserve">, направив свой вопрос на электронный ящик </w:t>
      </w:r>
      <w:hyperlink r:id="rId6" w:history="1">
        <w:r w:rsidR="00DB64FC" w:rsidRPr="005A17F8">
          <w:rPr>
            <w:rStyle w:val="a3"/>
            <w:rFonts w:ascii="Times New Roman" w:hAnsi="Times New Roman" w:cs="Times New Roman"/>
            <w:sz w:val="24"/>
            <w:szCs w:val="24"/>
          </w:rPr>
          <w:t>vopros-jkh@adminugra.ru</w:t>
        </w:r>
      </w:hyperlink>
      <w:r w:rsidR="00DB64FC">
        <w:rPr>
          <w:rFonts w:ascii="Times New Roman" w:hAnsi="Times New Roman" w:cs="Times New Roman"/>
          <w:sz w:val="24"/>
          <w:szCs w:val="24"/>
        </w:rPr>
        <w:t xml:space="preserve"> </w:t>
      </w:r>
      <w:r w:rsidR="00DB64FC" w:rsidRPr="00DB64FC">
        <w:rPr>
          <w:rFonts w:ascii="Times New Roman" w:hAnsi="Times New Roman" w:cs="Times New Roman"/>
          <w:sz w:val="24"/>
          <w:szCs w:val="24"/>
        </w:rPr>
        <w:t xml:space="preserve">или с помощью сайтов муниципальных образований автономного округа. </w:t>
      </w:r>
      <w:r w:rsidR="00DB64FC">
        <w:rPr>
          <w:rFonts w:ascii="Times New Roman" w:hAnsi="Times New Roman" w:cs="Times New Roman"/>
          <w:sz w:val="24"/>
          <w:szCs w:val="24"/>
        </w:rPr>
        <w:t>Пользователи социальных сетей Вконтакте</w:t>
      </w:r>
      <w:r w:rsidR="00DB64FC">
        <w:rPr>
          <w:rFonts w:ascii="Times New Roman" w:hAnsi="Times New Roman" w:cs="Times New Roman"/>
        </w:rPr>
        <w:t xml:space="preserve">, </w:t>
      </w:r>
      <w:r w:rsidR="00DB64FC" w:rsidRPr="00CF6609">
        <w:rPr>
          <w:rFonts w:ascii="Times New Roman" w:hAnsi="Times New Roman" w:cs="Times New Roman"/>
          <w:sz w:val="24"/>
          <w:szCs w:val="24"/>
        </w:rPr>
        <w:t>Одноклассники</w:t>
      </w:r>
      <w:r w:rsidR="008D625A">
        <w:rPr>
          <w:rFonts w:ascii="Times New Roman" w:hAnsi="Times New Roman" w:cs="Times New Roman"/>
          <w:sz w:val="24"/>
          <w:szCs w:val="24"/>
        </w:rPr>
        <w:t xml:space="preserve"> </w:t>
      </w:r>
      <w:r w:rsidR="00DB64FC">
        <w:rPr>
          <w:rFonts w:ascii="Times New Roman" w:hAnsi="Times New Roman"/>
          <w:sz w:val="24"/>
          <w:szCs w:val="24"/>
        </w:rPr>
        <w:t>могут задать интересующие их вопросы и по</w:t>
      </w:r>
      <w:r w:rsidR="00935DBC">
        <w:rPr>
          <w:rFonts w:ascii="Times New Roman" w:hAnsi="Times New Roman"/>
          <w:sz w:val="24"/>
          <w:szCs w:val="24"/>
        </w:rPr>
        <w:t xml:space="preserve">лучить on-line консультацию. Направить обращение в центр можно </w:t>
      </w:r>
      <w:r w:rsidR="008D625A">
        <w:rPr>
          <w:rFonts w:ascii="Times New Roman" w:hAnsi="Times New Roman"/>
          <w:sz w:val="24"/>
          <w:szCs w:val="24"/>
        </w:rPr>
        <w:t>с помощью сервиса по приему обращений граждан на сайте «Твой портал для жизни» (</w:t>
      </w:r>
      <w:hyperlink r:id="rId7" w:history="1">
        <w:r w:rsidR="00CF6609" w:rsidRPr="00D87AE6">
          <w:rPr>
            <w:rStyle w:val="a3"/>
            <w:rFonts w:ascii="Times New Roman" w:hAnsi="Times New Roman"/>
            <w:sz w:val="24"/>
            <w:szCs w:val="24"/>
          </w:rPr>
          <w:t>http://www.86gkh.ru/jku/consultation/ask/</w:t>
        </w:r>
      </w:hyperlink>
      <w:r w:rsidR="004136C1">
        <w:rPr>
          <w:rFonts w:ascii="Times New Roman" w:hAnsi="Times New Roman"/>
          <w:sz w:val="24"/>
          <w:szCs w:val="24"/>
        </w:rPr>
        <w:t>)</w:t>
      </w:r>
      <w:r w:rsidR="00935DBC">
        <w:rPr>
          <w:rFonts w:ascii="Times New Roman" w:hAnsi="Times New Roman"/>
          <w:bCs/>
          <w:sz w:val="24"/>
          <w:szCs w:val="24"/>
        </w:rPr>
        <w:t>. Получить консу</w:t>
      </w:r>
      <w:r w:rsidR="00CF6609">
        <w:rPr>
          <w:rFonts w:ascii="Times New Roman" w:hAnsi="Times New Roman"/>
          <w:bCs/>
          <w:sz w:val="24"/>
          <w:szCs w:val="24"/>
        </w:rPr>
        <w:t>льтацию граждане могут,  позвонив</w:t>
      </w:r>
      <w:r w:rsidR="00935DBC">
        <w:rPr>
          <w:rFonts w:ascii="Times New Roman" w:hAnsi="Times New Roman"/>
          <w:bCs/>
          <w:sz w:val="24"/>
          <w:szCs w:val="24"/>
        </w:rPr>
        <w:t xml:space="preserve"> напрямую в центр или на личном приеме.</w:t>
      </w:r>
    </w:p>
    <w:p w:rsidR="001974CB" w:rsidRDefault="0073359B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Так</w:t>
      </w:r>
      <w:r w:rsidR="00017B07">
        <w:rPr>
          <w:rFonts w:ascii="Times New Roman" w:hAnsi="Times New Roman"/>
          <w:sz w:val="24"/>
          <w:szCs w:val="24"/>
        </w:rPr>
        <w:t xml:space="preserve"> в течение второго</w:t>
      </w:r>
      <w:r w:rsidR="004136C1">
        <w:rPr>
          <w:rFonts w:ascii="Times New Roman" w:hAnsi="Times New Roman"/>
          <w:sz w:val="24"/>
          <w:szCs w:val="24"/>
        </w:rPr>
        <w:t xml:space="preserve"> квартала 2014</w:t>
      </w:r>
      <w:r>
        <w:rPr>
          <w:rFonts w:ascii="Times New Roman" w:hAnsi="Times New Roman"/>
          <w:sz w:val="24"/>
          <w:szCs w:val="24"/>
        </w:rPr>
        <w:t xml:space="preserve"> года с помощью телефона </w:t>
      </w:r>
      <w:r w:rsidR="0090599E">
        <w:rPr>
          <w:rFonts w:ascii="Times New Roman" w:hAnsi="Times New Roman"/>
          <w:sz w:val="24"/>
          <w:szCs w:val="24"/>
        </w:rPr>
        <w:t>«горяч</w:t>
      </w:r>
      <w:r w:rsidR="00017B07">
        <w:rPr>
          <w:rFonts w:ascii="Times New Roman" w:hAnsi="Times New Roman"/>
          <w:sz w:val="24"/>
          <w:szCs w:val="24"/>
        </w:rPr>
        <w:t>ей линии» в центр обратилось 2</w:t>
      </w:r>
      <w:r w:rsidR="004136C1">
        <w:rPr>
          <w:rFonts w:ascii="Times New Roman" w:hAnsi="Times New Roman"/>
          <w:sz w:val="24"/>
          <w:szCs w:val="24"/>
        </w:rPr>
        <w:t>24</w:t>
      </w:r>
      <w:r w:rsidR="0090599E">
        <w:rPr>
          <w:rFonts w:ascii="Times New Roman" w:hAnsi="Times New Roman"/>
          <w:sz w:val="24"/>
          <w:szCs w:val="24"/>
        </w:rPr>
        <w:t xml:space="preserve"> граждан</w:t>
      </w:r>
      <w:r w:rsidR="004136C1">
        <w:rPr>
          <w:rFonts w:ascii="Times New Roman" w:hAnsi="Times New Roman"/>
          <w:sz w:val="24"/>
          <w:szCs w:val="24"/>
        </w:rPr>
        <w:t>ина</w:t>
      </w:r>
      <w:r w:rsidR="0090599E">
        <w:rPr>
          <w:rFonts w:ascii="Times New Roman" w:hAnsi="Times New Roman"/>
          <w:sz w:val="24"/>
          <w:szCs w:val="24"/>
        </w:rPr>
        <w:t xml:space="preserve"> или 90</w:t>
      </w:r>
      <w:r w:rsidR="00B8422A">
        <w:rPr>
          <w:rFonts w:ascii="Times New Roman" w:hAnsi="Times New Roman"/>
          <w:sz w:val="24"/>
          <w:szCs w:val="24"/>
        </w:rPr>
        <w:t xml:space="preserve"> </w:t>
      </w:r>
      <w:r w:rsidR="0090599E">
        <w:rPr>
          <w:rFonts w:ascii="Times New Roman" w:hAnsi="Times New Roman"/>
          <w:sz w:val="24"/>
          <w:szCs w:val="24"/>
        </w:rPr>
        <w:t>% от общего числа обратившихся</w:t>
      </w:r>
      <w:r w:rsidR="004136C1">
        <w:rPr>
          <w:rFonts w:ascii="Times New Roman" w:hAnsi="Times New Roman"/>
          <w:sz w:val="24"/>
          <w:szCs w:val="24"/>
        </w:rPr>
        <w:t xml:space="preserve"> граждан</w:t>
      </w:r>
      <w:r w:rsidR="0090599E">
        <w:rPr>
          <w:rFonts w:ascii="Times New Roman" w:hAnsi="Times New Roman"/>
          <w:sz w:val="24"/>
          <w:szCs w:val="24"/>
        </w:rPr>
        <w:t xml:space="preserve">. </w:t>
      </w:r>
      <w:r w:rsidR="00145E96">
        <w:rPr>
          <w:rFonts w:ascii="Times New Roman" w:hAnsi="Times New Roman"/>
          <w:sz w:val="24"/>
          <w:szCs w:val="24"/>
        </w:rPr>
        <w:t xml:space="preserve">По </w:t>
      </w:r>
      <w:r w:rsidR="00017B07">
        <w:rPr>
          <w:rFonts w:ascii="Times New Roman" w:hAnsi="Times New Roman"/>
          <w:sz w:val="24"/>
          <w:szCs w:val="24"/>
        </w:rPr>
        <w:t>электронной почте поступило 5</w:t>
      </w:r>
      <w:r w:rsidR="00145E96">
        <w:rPr>
          <w:rFonts w:ascii="Times New Roman" w:hAnsi="Times New Roman"/>
          <w:sz w:val="24"/>
          <w:szCs w:val="24"/>
        </w:rPr>
        <w:t xml:space="preserve"> в</w:t>
      </w:r>
      <w:r w:rsidR="00017B07">
        <w:rPr>
          <w:rFonts w:ascii="Times New Roman" w:hAnsi="Times New Roman"/>
          <w:sz w:val="24"/>
          <w:szCs w:val="24"/>
        </w:rPr>
        <w:t>опросов граждан</w:t>
      </w:r>
      <w:r w:rsidR="00145E96">
        <w:rPr>
          <w:rFonts w:ascii="Times New Roman" w:hAnsi="Times New Roman"/>
          <w:sz w:val="24"/>
          <w:szCs w:val="24"/>
        </w:rPr>
        <w:t xml:space="preserve">. </w:t>
      </w:r>
      <w:r w:rsidR="00807672">
        <w:rPr>
          <w:rFonts w:ascii="Times New Roman" w:hAnsi="Times New Roman"/>
          <w:sz w:val="24"/>
          <w:szCs w:val="24"/>
        </w:rPr>
        <w:t>Получили консультацию, поз</w:t>
      </w:r>
      <w:r w:rsidR="004136C1">
        <w:rPr>
          <w:rFonts w:ascii="Times New Roman" w:hAnsi="Times New Roman"/>
          <w:sz w:val="24"/>
          <w:szCs w:val="24"/>
        </w:rPr>
        <w:t>вонив н</w:t>
      </w:r>
      <w:r w:rsidR="00452E02">
        <w:rPr>
          <w:rFonts w:ascii="Times New Roman" w:hAnsi="Times New Roman"/>
          <w:sz w:val="24"/>
          <w:szCs w:val="24"/>
        </w:rPr>
        <w:t>епосредственно в центр</w:t>
      </w:r>
      <w:r w:rsidR="00CF6609">
        <w:rPr>
          <w:rFonts w:ascii="Times New Roman" w:hAnsi="Times New Roman"/>
          <w:sz w:val="24"/>
          <w:szCs w:val="24"/>
        </w:rPr>
        <w:t>,</w:t>
      </w:r>
      <w:r w:rsidR="00452E02">
        <w:rPr>
          <w:rFonts w:ascii="Times New Roman" w:hAnsi="Times New Roman"/>
          <w:sz w:val="24"/>
          <w:szCs w:val="24"/>
        </w:rPr>
        <w:t xml:space="preserve"> 7</w:t>
      </w:r>
      <w:r w:rsidR="00807672">
        <w:rPr>
          <w:rFonts w:ascii="Times New Roman" w:hAnsi="Times New Roman"/>
          <w:sz w:val="24"/>
          <w:szCs w:val="24"/>
        </w:rPr>
        <w:t xml:space="preserve"> граждан, </w:t>
      </w:r>
      <w:r w:rsidR="00452E02">
        <w:rPr>
          <w:rFonts w:ascii="Times New Roman" w:hAnsi="Times New Roman"/>
          <w:sz w:val="24"/>
          <w:szCs w:val="24"/>
        </w:rPr>
        <w:t>один</w:t>
      </w:r>
      <w:r w:rsidR="00807672">
        <w:rPr>
          <w:rFonts w:ascii="Times New Roman" w:hAnsi="Times New Roman"/>
          <w:sz w:val="24"/>
          <w:szCs w:val="24"/>
        </w:rPr>
        <w:t xml:space="preserve"> граждан</w:t>
      </w:r>
      <w:r w:rsidR="00452E02">
        <w:rPr>
          <w:rFonts w:ascii="Times New Roman" w:hAnsi="Times New Roman"/>
          <w:sz w:val="24"/>
          <w:szCs w:val="24"/>
        </w:rPr>
        <w:t>ин был</w:t>
      </w:r>
      <w:r w:rsidR="00807672">
        <w:rPr>
          <w:rFonts w:ascii="Times New Roman" w:hAnsi="Times New Roman"/>
          <w:sz w:val="24"/>
          <w:szCs w:val="24"/>
        </w:rPr>
        <w:t xml:space="preserve"> проконс</w:t>
      </w:r>
      <w:r w:rsidR="00452E02">
        <w:rPr>
          <w:rFonts w:ascii="Times New Roman" w:hAnsi="Times New Roman"/>
          <w:sz w:val="24"/>
          <w:szCs w:val="24"/>
        </w:rPr>
        <w:t>ультирован</w:t>
      </w:r>
      <w:r w:rsidR="004136C1">
        <w:rPr>
          <w:rFonts w:ascii="Times New Roman" w:hAnsi="Times New Roman"/>
          <w:sz w:val="24"/>
          <w:szCs w:val="24"/>
        </w:rPr>
        <w:t xml:space="preserve"> на личном </w:t>
      </w:r>
      <w:r w:rsidR="004136C1">
        <w:rPr>
          <w:rFonts w:ascii="Times New Roman" w:hAnsi="Times New Roman"/>
          <w:sz w:val="24"/>
          <w:szCs w:val="24"/>
        </w:rPr>
        <w:lastRenderedPageBreak/>
        <w:t>приеме,</w:t>
      </w:r>
      <w:r w:rsidR="00807672">
        <w:rPr>
          <w:rFonts w:ascii="Times New Roman" w:hAnsi="Times New Roman"/>
          <w:sz w:val="24"/>
          <w:szCs w:val="24"/>
        </w:rPr>
        <w:t xml:space="preserve"> </w:t>
      </w:r>
      <w:r w:rsidR="00452E02">
        <w:rPr>
          <w:rFonts w:ascii="Times New Roman" w:hAnsi="Times New Roman"/>
          <w:sz w:val="24"/>
          <w:szCs w:val="24"/>
        </w:rPr>
        <w:t>7</w:t>
      </w:r>
      <w:r w:rsidR="00807672">
        <w:rPr>
          <w:rFonts w:ascii="Times New Roman" w:hAnsi="Times New Roman"/>
          <w:sz w:val="24"/>
          <w:szCs w:val="24"/>
        </w:rPr>
        <w:t xml:space="preserve"> граждан получили on-line </w:t>
      </w:r>
      <w:r w:rsidR="004136C1">
        <w:rPr>
          <w:rFonts w:ascii="Times New Roman" w:hAnsi="Times New Roman"/>
          <w:sz w:val="24"/>
          <w:szCs w:val="24"/>
        </w:rPr>
        <w:t>конс</w:t>
      </w:r>
      <w:r w:rsidR="00CF6609">
        <w:rPr>
          <w:rFonts w:ascii="Times New Roman" w:hAnsi="Times New Roman"/>
          <w:sz w:val="24"/>
          <w:szCs w:val="24"/>
        </w:rPr>
        <w:t>ультации в социальных сетях,</w:t>
      </w:r>
      <w:r w:rsidR="00452E02">
        <w:rPr>
          <w:rFonts w:ascii="Times New Roman" w:hAnsi="Times New Roman"/>
          <w:sz w:val="24"/>
          <w:szCs w:val="24"/>
        </w:rPr>
        <w:t xml:space="preserve"> 4</w:t>
      </w:r>
      <w:r w:rsidR="004136C1">
        <w:rPr>
          <w:rFonts w:ascii="Times New Roman" w:hAnsi="Times New Roman"/>
          <w:sz w:val="24"/>
          <w:szCs w:val="24"/>
        </w:rPr>
        <w:t xml:space="preserve"> обратившихся направили вопросы с помощью сайта «Твой портал для жизни».</w:t>
      </w:r>
    </w:p>
    <w:p w:rsidR="0073359B" w:rsidRDefault="00807672" w:rsidP="000D0022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90599E">
        <w:rPr>
          <w:rFonts w:ascii="Times New Roman" w:hAnsi="Times New Roman"/>
          <w:sz w:val="24"/>
          <w:szCs w:val="24"/>
        </w:rPr>
        <w:t xml:space="preserve"> </w:t>
      </w:r>
      <w:r w:rsidR="00575125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7770F" w:rsidRDefault="0037770F" w:rsidP="000D00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9447D8">
        <w:rPr>
          <w:rFonts w:ascii="Times New Roman" w:hAnsi="Times New Roman"/>
          <w:sz w:val="24"/>
          <w:szCs w:val="24"/>
        </w:rPr>
        <w:t>Большинство обращений поступило от граждан, проживающих на территории таких муниципальных образов</w:t>
      </w:r>
      <w:r w:rsidR="009B5CAA">
        <w:rPr>
          <w:rFonts w:ascii="Times New Roman" w:hAnsi="Times New Roman"/>
          <w:sz w:val="24"/>
          <w:szCs w:val="24"/>
        </w:rPr>
        <w:t>аний как: г.</w:t>
      </w:r>
      <w:r w:rsidR="002715EF">
        <w:rPr>
          <w:rFonts w:ascii="Times New Roman" w:hAnsi="Times New Roman"/>
          <w:sz w:val="24"/>
          <w:szCs w:val="24"/>
        </w:rPr>
        <w:t xml:space="preserve"> Сургут, г. Ханты-Мансийск, г. Пыть-Ях, Сургутск</w:t>
      </w:r>
      <w:r w:rsidR="00CF6609">
        <w:rPr>
          <w:rFonts w:ascii="Times New Roman" w:hAnsi="Times New Roman"/>
          <w:sz w:val="24"/>
          <w:szCs w:val="24"/>
        </w:rPr>
        <w:t>ий район</w:t>
      </w:r>
      <w:r w:rsidR="002715EF">
        <w:rPr>
          <w:rFonts w:ascii="Times New Roman" w:hAnsi="Times New Roman"/>
          <w:sz w:val="24"/>
          <w:szCs w:val="24"/>
        </w:rPr>
        <w:t>, г. Нягань</w:t>
      </w:r>
      <w:r w:rsidR="009447D8">
        <w:rPr>
          <w:rFonts w:ascii="Times New Roman" w:hAnsi="Times New Roman"/>
          <w:sz w:val="24"/>
          <w:szCs w:val="24"/>
        </w:rPr>
        <w:t xml:space="preserve">. </w:t>
      </w:r>
    </w:p>
    <w:p w:rsidR="0037526F" w:rsidRPr="00E945CB" w:rsidRDefault="00E945CB" w:rsidP="000D0022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E945CB"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394F" w:rsidRPr="00FD7ABC" w:rsidRDefault="00786915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большей степени вопросы, заданные гражданами, касались ремонта и содержания общего имущества многоквартирного дома</w:t>
      </w:r>
      <w:r w:rsidR="004A6306">
        <w:rPr>
          <w:rFonts w:ascii="Times New Roman" w:hAnsi="Times New Roman"/>
          <w:sz w:val="24"/>
          <w:szCs w:val="24"/>
        </w:rPr>
        <w:t xml:space="preserve">, </w:t>
      </w:r>
      <w:r w:rsidR="000A0FDC">
        <w:rPr>
          <w:rFonts w:ascii="Times New Roman" w:hAnsi="Times New Roman"/>
          <w:sz w:val="24"/>
          <w:szCs w:val="24"/>
        </w:rPr>
        <w:t xml:space="preserve">услуги </w:t>
      </w:r>
      <w:r w:rsidR="004A6306">
        <w:rPr>
          <w:rFonts w:ascii="Times New Roman" w:hAnsi="Times New Roman"/>
          <w:sz w:val="24"/>
          <w:szCs w:val="24"/>
        </w:rPr>
        <w:t>от</w:t>
      </w:r>
      <w:r w:rsidR="000A0FDC">
        <w:rPr>
          <w:rFonts w:ascii="Times New Roman" w:hAnsi="Times New Roman"/>
          <w:sz w:val="24"/>
          <w:szCs w:val="24"/>
        </w:rPr>
        <w:t>о</w:t>
      </w:r>
      <w:r w:rsidR="004A6306">
        <w:rPr>
          <w:rFonts w:ascii="Times New Roman" w:hAnsi="Times New Roman"/>
          <w:sz w:val="24"/>
          <w:szCs w:val="24"/>
        </w:rPr>
        <w:t>пления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0A0FDC">
        <w:rPr>
          <w:rFonts w:ascii="Times New Roman" w:hAnsi="Times New Roman"/>
          <w:sz w:val="24"/>
          <w:szCs w:val="24"/>
        </w:rPr>
        <w:t>услуг по горячему и холодному водоснабжению</w:t>
      </w:r>
      <w:r>
        <w:rPr>
          <w:rFonts w:ascii="Times New Roman" w:hAnsi="Times New Roman"/>
          <w:sz w:val="24"/>
          <w:szCs w:val="24"/>
        </w:rPr>
        <w:t>.</w:t>
      </w:r>
      <w:r w:rsidR="00C2590B">
        <w:rPr>
          <w:rFonts w:ascii="Times New Roman" w:hAnsi="Times New Roman"/>
          <w:sz w:val="24"/>
          <w:szCs w:val="24"/>
        </w:rPr>
        <w:t xml:space="preserve"> Если по вопросам </w:t>
      </w:r>
      <w:r w:rsidR="004A6306">
        <w:rPr>
          <w:rFonts w:ascii="Times New Roman" w:hAnsi="Times New Roman"/>
          <w:sz w:val="24"/>
          <w:szCs w:val="24"/>
        </w:rPr>
        <w:t xml:space="preserve">отопления, </w:t>
      </w:r>
      <w:r w:rsidR="00C2590B">
        <w:rPr>
          <w:rFonts w:ascii="Times New Roman" w:hAnsi="Times New Roman"/>
          <w:sz w:val="24"/>
          <w:szCs w:val="24"/>
        </w:rPr>
        <w:t>ремонта и содержания общего имущества граждан</w:t>
      </w:r>
      <w:r w:rsidR="00477BF1">
        <w:rPr>
          <w:rFonts w:ascii="Times New Roman" w:hAnsi="Times New Roman"/>
          <w:sz w:val="24"/>
          <w:szCs w:val="24"/>
        </w:rPr>
        <w:t>, а так же горячего водоснабжения граждан</w:t>
      </w:r>
      <w:r w:rsidR="00C2590B">
        <w:rPr>
          <w:rFonts w:ascii="Times New Roman" w:hAnsi="Times New Roman"/>
          <w:sz w:val="24"/>
          <w:szCs w:val="24"/>
        </w:rPr>
        <w:t xml:space="preserve"> в большей степени интересовал вопрос качества предоставления услуг, то </w:t>
      </w:r>
      <w:r w:rsidR="00477BF1">
        <w:rPr>
          <w:rFonts w:ascii="Times New Roman" w:hAnsi="Times New Roman"/>
          <w:sz w:val="24"/>
          <w:szCs w:val="24"/>
        </w:rPr>
        <w:t xml:space="preserve">в части </w:t>
      </w:r>
      <w:r w:rsidR="00C2590B">
        <w:rPr>
          <w:rFonts w:ascii="Times New Roman" w:hAnsi="Times New Roman"/>
          <w:sz w:val="24"/>
          <w:szCs w:val="24"/>
        </w:rPr>
        <w:t>холодного водоснабжения</w:t>
      </w:r>
      <w:r w:rsidR="00477BF1">
        <w:rPr>
          <w:rFonts w:ascii="Times New Roman" w:hAnsi="Times New Roman"/>
          <w:sz w:val="24"/>
          <w:szCs w:val="24"/>
        </w:rPr>
        <w:t xml:space="preserve">, электроснабжения, установки приборов учета коммунальных </w:t>
      </w:r>
      <w:r w:rsidR="00477BF1">
        <w:rPr>
          <w:rFonts w:ascii="Times New Roman" w:hAnsi="Times New Roman"/>
          <w:sz w:val="24"/>
          <w:szCs w:val="24"/>
        </w:rPr>
        <w:lastRenderedPageBreak/>
        <w:t>ресурсов</w:t>
      </w:r>
      <w:r w:rsidR="00C2590B">
        <w:rPr>
          <w:rFonts w:ascii="Times New Roman" w:hAnsi="Times New Roman"/>
          <w:sz w:val="24"/>
          <w:szCs w:val="24"/>
        </w:rPr>
        <w:t xml:space="preserve"> граждане чаще задавали вопросы о порядке расчета платы за предоставленные услуги.  </w:t>
      </w:r>
    </w:p>
    <w:p w:rsidR="00E945CB" w:rsidRPr="00E945CB" w:rsidRDefault="00E945CB" w:rsidP="00E945CB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945C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4486275"/>
            <wp:effectExtent l="0" t="0" r="0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871B7" w:rsidRPr="004433A8" w:rsidRDefault="00C2590B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Преобладание вопросов о </w:t>
      </w:r>
      <w:r w:rsidR="004433A8">
        <w:rPr>
          <w:rFonts w:ascii="Times New Roman" w:hAnsi="Times New Roman" w:cs="Times New Roman"/>
          <w:sz w:val="24"/>
          <w:szCs w:val="24"/>
        </w:rPr>
        <w:t xml:space="preserve">качестве предоставления коммунальных услуг </w:t>
      </w:r>
      <w:r>
        <w:rPr>
          <w:rFonts w:ascii="Times New Roman" w:hAnsi="Times New Roman" w:cs="Times New Roman"/>
          <w:sz w:val="24"/>
          <w:szCs w:val="24"/>
        </w:rPr>
        <w:t xml:space="preserve">вызвано тем, что </w:t>
      </w:r>
      <w:r w:rsidR="004433A8">
        <w:rPr>
          <w:rFonts w:ascii="Times New Roman" w:hAnsi="Times New Roman" w:cs="Times New Roman"/>
          <w:sz w:val="24"/>
          <w:szCs w:val="24"/>
        </w:rPr>
        <w:t xml:space="preserve">закончился отопительный период, начались ремонтные и профилактические </w:t>
      </w:r>
      <w:r w:rsidR="004433A8">
        <w:rPr>
          <w:rFonts w:ascii="Times New Roman" w:hAnsi="Times New Roman" w:cs="Times New Roman"/>
          <w:sz w:val="24"/>
          <w:szCs w:val="24"/>
        </w:rPr>
        <w:lastRenderedPageBreak/>
        <w:t>работы на линиях водо- и теплоснабжения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8F0CDF">
        <w:rPr>
          <w:rFonts w:ascii="Times New Roman" w:hAnsi="Times New Roman" w:cs="Times New Roman"/>
          <w:sz w:val="24"/>
          <w:szCs w:val="24"/>
        </w:rPr>
        <w:t xml:space="preserve"> </w:t>
      </w:r>
      <w:r w:rsidR="00C871B7" w:rsidRPr="00C871B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86400" cy="4419600"/>
            <wp:effectExtent l="19050" t="0" r="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177AB" w:rsidRDefault="00691DA8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Консульт</w:t>
      </w:r>
      <w:r w:rsidR="00133966">
        <w:rPr>
          <w:rFonts w:ascii="Times New Roman" w:hAnsi="Times New Roman" w:cs="Times New Roman"/>
          <w:sz w:val="24"/>
          <w:szCs w:val="24"/>
        </w:rPr>
        <w:t>ационно-правового центра со СМИ</w:t>
      </w:r>
      <w:r w:rsidR="00D177AB">
        <w:rPr>
          <w:rFonts w:ascii="Times New Roman" w:hAnsi="Times New Roman" w:cs="Times New Roman"/>
          <w:sz w:val="24"/>
          <w:szCs w:val="24"/>
        </w:rPr>
        <w:t>.</w:t>
      </w:r>
    </w:p>
    <w:p w:rsidR="00691DA8" w:rsidRDefault="00202F3E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4433A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33A8">
        <w:rPr>
          <w:rFonts w:ascii="Times New Roman" w:hAnsi="Times New Roman" w:cs="Times New Roman"/>
          <w:sz w:val="24"/>
          <w:szCs w:val="24"/>
        </w:rPr>
        <w:t>втором</w:t>
      </w:r>
      <w:r>
        <w:rPr>
          <w:rFonts w:ascii="Times New Roman" w:hAnsi="Times New Roman" w:cs="Times New Roman"/>
          <w:sz w:val="24"/>
          <w:szCs w:val="24"/>
        </w:rPr>
        <w:t xml:space="preserve"> квартале 2014</w:t>
      </w:r>
      <w:r w:rsidR="00691DA8">
        <w:rPr>
          <w:rFonts w:ascii="Times New Roman" w:hAnsi="Times New Roman" w:cs="Times New Roman"/>
          <w:sz w:val="24"/>
          <w:szCs w:val="24"/>
        </w:rPr>
        <w:t xml:space="preserve"> года сотрудниками Консультационно-правового центра проводилась активная работа со средствами массовой информации автономного округа.</w:t>
      </w:r>
    </w:p>
    <w:p w:rsidR="000A4D29" w:rsidRDefault="004433A8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Опубликованы</w:t>
      </w:r>
      <w:r w:rsidR="00691D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="00202F3E">
        <w:rPr>
          <w:rFonts w:ascii="Times New Roman" w:hAnsi="Times New Roman" w:cs="Times New Roman"/>
          <w:sz w:val="24"/>
          <w:szCs w:val="24"/>
        </w:rPr>
        <w:t xml:space="preserve"> печатных материала</w:t>
      </w:r>
      <w:r w:rsidR="00691DA8">
        <w:rPr>
          <w:rFonts w:ascii="Times New Roman" w:hAnsi="Times New Roman" w:cs="Times New Roman"/>
          <w:sz w:val="24"/>
          <w:szCs w:val="24"/>
        </w:rPr>
        <w:t xml:space="preserve"> в рубрике «Коммунальный помощник» в газете «Новости Югры». </w:t>
      </w:r>
      <w:r w:rsidR="00792DC4">
        <w:rPr>
          <w:rFonts w:ascii="Times New Roman" w:hAnsi="Times New Roman" w:cs="Times New Roman"/>
          <w:sz w:val="24"/>
          <w:szCs w:val="24"/>
        </w:rPr>
        <w:t xml:space="preserve">Подготовлены и даны комментарии для </w:t>
      </w:r>
      <w:r w:rsidR="007218B1">
        <w:rPr>
          <w:rFonts w:ascii="Times New Roman" w:hAnsi="Times New Roman" w:cs="Times New Roman"/>
          <w:sz w:val="24"/>
          <w:szCs w:val="24"/>
        </w:rPr>
        <w:t>2 новостн</w:t>
      </w:r>
      <w:r w:rsidR="00CF6609">
        <w:rPr>
          <w:rFonts w:ascii="Times New Roman" w:hAnsi="Times New Roman" w:cs="Times New Roman"/>
          <w:sz w:val="24"/>
          <w:szCs w:val="24"/>
        </w:rPr>
        <w:t>ых</w:t>
      </w:r>
      <w:r w:rsidR="007218B1">
        <w:rPr>
          <w:rFonts w:ascii="Times New Roman" w:hAnsi="Times New Roman" w:cs="Times New Roman"/>
          <w:sz w:val="24"/>
          <w:szCs w:val="24"/>
        </w:rPr>
        <w:t xml:space="preserve"> блоков</w:t>
      </w:r>
      <w:r w:rsidR="00792DC4">
        <w:rPr>
          <w:rFonts w:ascii="Times New Roman" w:hAnsi="Times New Roman" w:cs="Times New Roman"/>
          <w:sz w:val="24"/>
          <w:szCs w:val="24"/>
        </w:rPr>
        <w:t xml:space="preserve"> ТРК </w:t>
      </w:r>
      <w:r w:rsidR="00CF6609">
        <w:rPr>
          <w:rFonts w:ascii="Times New Roman" w:hAnsi="Times New Roman" w:cs="Times New Roman"/>
          <w:sz w:val="24"/>
          <w:szCs w:val="24"/>
        </w:rPr>
        <w:t>«</w:t>
      </w:r>
      <w:r w:rsidR="00792DC4">
        <w:rPr>
          <w:rFonts w:ascii="Times New Roman" w:hAnsi="Times New Roman" w:cs="Times New Roman"/>
          <w:sz w:val="24"/>
          <w:szCs w:val="24"/>
        </w:rPr>
        <w:t>Югория»</w:t>
      </w:r>
      <w:r w:rsidR="00B74429">
        <w:rPr>
          <w:rFonts w:ascii="Times New Roman" w:hAnsi="Times New Roman" w:cs="Times New Roman"/>
          <w:sz w:val="24"/>
          <w:szCs w:val="24"/>
        </w:rPr>
        <w:t xml:space="preserve"> </w:t>
      </w:r>
      <w:r w:rsidR="007218B1">
        <w:rPr>
          <w:rFonts w:ascii="Times New Roman" w:hAnsi="Times New Roman" w:cs="Times New Roman"/>
          <w:sz w:val="24"/>
          <w:szCs w:val="24"/>
        </w:rPr>
        <w:t xml:space="preserve"> и 2</w:t>
      </w:r>
      <w:r w:rsidR="00202F3E">
        <w:rPr>
          <w:rFonts w:ascii="Times New Roman" w:hAnsi="Times New Roman" w:cs="Times New Roman"/>
          <w:sz w:val="24"/>
          <w:szCs w:val="24"/>
        </w:rPr>
        <w:t xml:space="preserve"> программ «Дом, в котором мы живем» по вопросам </w:t>
      </w:r>
      <w:r w:rsidR="007218B1">
        <w:rPr>
          <w:rFonts w:ascii="Times New Roman" w:hAnsi="Times New Roman" w:cs="Times New Roman"/>
          <w:sz w:val="24"/>
          <w:szCs w:val="24"/>
        </w:rPr>
        <w:t>формирования платы за коммунальные услуги и возможностей граждан влиять на формирование стоимости работ по ремонту и содержанию общего имущества</w:t>
      </w:r>
      <w:r w:rsidR="00B74429">
        <w:rPr>
          <w:rFonts w:ascii="Times New Roman" w:hAnsi="Times New Roman" w:cs="Times New Roman"/>
          <w:sz w:val="24"/>
          <w:szCs w:val="24"/>
        </w:rPr>
        <w:t>.</w:t>
      </w:r>
      <w:r w:rsidR="007218B1">
        <w:rPr>
          <w:rFonts w:ascii="Times New Roman" w:hAnsi="Times New Roman" w:cs="Times New Roman"/>
          <w:sz w:val="24"/>
          <w:szCs w:val="24"/>
        </w:rPr>
        <w:t xml:space="preserve"> Так же были даны комментарии по порядку действий в случае затопления жилого помещения.</w:t>
      </w:r>
    </w:p>
    <w:p w:rsidR="00691DA8" w:rsidRDefault="000A4D2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втором квартале 2014 года сотрудниками Консультационного центра проведена работа по подготовке технического задания при заключении договора оказания услуг с новым оператором «Горячей линии».</w:t>
      </w:r>
      <w:r w:rsidR="007218B1">
        <w:rPr>
          <w:rFonts w:ascii="Times New Roman" w:hAnsi="Times New Roman" w:cs="Times New Roman"/>
          <w:sz w:val="24"/>
          <w:szCs w:val="24"/>
        </w:rPr>
        <w:t xml:space="preserve"> </w:t>
      </w:r>
      <w:r w:rsidR="00B744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09" w:rsidRDefault="00067FAF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195F">
        <w:rPr>
          <w:rFonts w:ascii="Times New Roman" w:hAnsi="Times New Roman" w:cs="Times New Roman"/>
          <w:sz w:val="24"/>
          <w:szCs w:val="24"/>
        </w:rPr>
        <w:t>Для дальнейшего эффективного решения задач, поставленных перед Консультационно-правовым центром по вопросам ЖКХ в 2014 году, продолжается работа по повышению качества и доступности предоставления н</w:t>
      </w:r>
      <w:r w:rsidR="00CF6609">
        <w:rPr>
          <w:rFonts w:ascii="Times New Roman" w:hAnsi="Times New Roman" w:cs="Times New Roman"/>
          <w:sz w:val="24"/>
          <w:szCs w:val="24"/>
        </w:rPr>
        <w:t>аселению консультационных услуг:</w:t>
      </w:r>
      <w:r w:rsidRPr="0005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09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7FAF" w:rsidRPr="0005195F">
        <w:rPr>
          <w:rFonts w:ascii="Times New Roman" w:hAnsi="Times New Roman" w:cs="Times New Roman"/>
          <w:sz w:val="24"/>
          <w:szCs w:val="24"/>
        </w:rPr>
        <w:t>асширение возможностей Центра за счет присутствия в сети Инт</w:t>
      </w:r>
      <w:r>
        <w:rPr>
          <w:rFonts w:ascii="Times New Roman" w:hAnsi="Times New Roman" w:cs="Times New Roman"/>
          <w:sz w:val="24"/>
          <w:szCs w:val="24"/>
        </w:rPr>
        <w:t>ернет;</w:t>
      </w:r>
      <w:r w:rsidR="00067FAF" w:rsidRPr="0005195F">
        <w:rPr>
          <w:rFonts w:ascii="Times New Roman" w:hAnsi="Times New Roman" w:cs="Times New Roman"/>
          <w:sz w:val="24"/>
          <w:szCs w:val="24"/>
        </w:rPr>
        <w:t> </w:t>
      </w:r>
    </w:p>
    <w:p w:rsidR="00CF6609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67FAF" w:rsidRPr="0005195F">
        <w:rPr>
          <w:rFonts w:ascii="Times New Roman" w:hAnsi="Times New Roman" w:cs="Times New Roman"/>
          <w:sz w:val="24"/>
          <w:szCs w:val="24"/>
        </w:rPr>
        <w:t xml:space="preserve">овышение взаимодействия с электронными и печатными средствами массовой информации с целью повышения правовой грамотности жителей автономного округа в части способов и пределов реализации и защиты </w:t>
      </w:r>
      <w:bookmarkStart w:id="0" w:name="_GoBack"/>
      <w:bookmarkEnd w:id="0"/>
      <w:r w:rsidR="00067FAF" w:rsidRPr="0005195F">
        <w:rPr>
          <w:rFonts w:ascii="Times New Roman" w:hAnsi="Times New Roman" w:cs="Times New Roman"/>
          <w:sz w:val="24"/>
          <w:szCs w:val="24"/>
        </w:rPr>
        <w:t>своих прав, охраняемых законом интересов в сфере предоставл</w:t>
      </w:r>
      <w:r>
        <w:rPr>
          <w:rFonts w:ascii="Times New Roman" w:hAnsi="Times New Roman" w:cs="Times New Roman"/>
          <w:sz w:val="24"/>
          <w:szCs w:val="24"/>
        </w:rPr>
        <w:t>ения жилищно-коммунальных услуг;</w:t>
      </w:r>
      <w:r w:rsidR="00067FAF" w:rsidRPr="0005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09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7FAF" w:rsidRPr="0005195F">
        <w:rPr>
          <w:rFonts w:ascii="Times New Roman" w:hAnsi="Times New Roman" w:cs="Times New Roman"/>
          <w:sz w:val="24"/>
          <w:szCs w:val="24"/>
        </w:rPr>
        <w:t>рганизация системы постоянной информированности населения об изменениях нормативно-правовой базы в области предоставл</w:t>
      </w:r>
      <w:r>
        <w:rPr>
          <w:rFonts w:ascii="Times New Roman" w:hAnsi="Times New Roman" w:cs="Times New Roman"/>
          <w:sz w:val="24"/>
          <w:szCs w:val="24"/>
        </w:rPr>
        <w:t>ения жилищно-коммунальных услуг;</w:t>
      </w:r>
      <w:r w:rsidR="00067FAF" w:rsidRPr="000519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609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67FAF" w:rsidRPr="0005195F">
        <w:rPr>
          <w:rFonts w:ascii="Times New Roman" w:hAnsi="Times New Roman" w:cs="Times New Roman"/>
          <w:sz w:val="24"/>
          <w:szCs w:val="24"/>
        </w:rPr>
        <w:t>беспечение организационно-методического сопровождения разработки актуальных методов упра</w:t>
      </w:r>
      <w:r>
        <w:rPr>
          <w:rFonts w:ascii="Times New Roman" w:hAnsi="Times New Roman" w:cs="Times New Roman"/>
          <w:sz w:val="24"/>
          <w:szCs w:val="24"/>
        </w:rPr>
        <w:t>вления многоквартирными домами;</w:t>
      </w:r>
    </w:p>
    <w:p w:rsidR="00067FAF" w:rsidRPr="0005195F" w:rsidRDefault="00CF6609" w:rsidP="007E39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67FAF" w:rsidRPr="0005195F">
        <w:rPr>
          <w:rFonts w:ascii="Times New Roman" w:hAnsi="Times New Roman" w:cs="Times New Roman"/>
          <w:sz w:val="24"/>
          <w:szCs w:val="24"/>
        </w:rPr>
        <w:t>асширение взаимодействия с общественными организациями в области общественного контроля  деятельности предприятий жилищно-коммунального комплекса.</w:t>
      </w:r>
    </w:p>
    <w:p w:rsidR="00D177AB" w:rsidRPr="00867217" w:rsidRDefault="00D177AB" w:rsidP="00990D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77AB" w:rsidRPr="00867217" w:rsidSect="00DD73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B3321"/>
    <w:multiLevelType w:val="hybridMultilevel"/>
    <w:tmpl w:val="7872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167AC5"/>
    <w:multiLevelType w:val="hybridMultilevel"/>
    <w:tmpl w:val="3A58B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0022"/>
    <w:rsid w:val="00017B07"/>
    <w:rsid w:val="0003114B"/>
    <w:rsid w:val="0005195F"/>
    <w:rsid w:val="0005768D"/>
    <w:rsid w:val="00067FAF"/>
    <w:rsid w:val="00077192"/>
    <w:rsid w:val="00084407"/>
    <w:rsid w:val="000A0FDC"/>
    <w:rsid w:val="000A4D29"/>
    <w:rsid w:val="000D0022"/>
    <w:rsid w:val="000D20D7"/>
    <w:rsid w:val="000E52FF"/>
    <w:rsid w:val="000F5419"/>
    <w:rsid w:val="001129E7"/>
    <w:rsid w:val="00133966"/>
    <w:rsid w:val="001453FB"/>
    <w:rsid w:val="00145E96"/>
    <w:rsid w:val="0017103A"/>
    <w:rsid w:val="00192564"/>
    <w:rsid w:val="001974CB"/>
    <w:rsid w:val="001A49B3"/>
    <w:rsid w:val="001A7B16"/>
    <w:rsid w:val="001B0717"/>
    <w:rsid w:val="001B15CE"/>
    <w:rsid w:val="001E2874"/>
    <w:rsid w:val="00201A43"/>
    <w:rsid w:val="00202F3E"/>
    <w:rsid w:val="00227415"/>
    <w:rsid w:val="00250A85"/>
    <w:rsid w:val="002512BE"/>
    <w:rsid w:val="002547D6"/>
    <w:rsid w:val="002715EF"/>
    <w:rsid w:val="00272FDA"/>
    <w:rsid w:val="00285E8A"/>
    <w:rsid w:val="00287A01"/>
    <w:rsid w:val="00290660"/>
    <w:rsid w:val="002924B0"/>
    <w:rsid w:val="002A12A6"/>
    <w:rsid w:val="00322BA1"/>
    <w:rsid w:val="00335A97"/>
    <w:rsid w:val="00336416"/>
    <w:rsid w:val="00347B97"/>
    <w:rsid w:val="003617CC"/>
    <w:rsid w:val="00370502"/>
    <w:rsid w:val="0037526F"/>
    <w:rsid w:val="0037770F"/>
    <w:rsid w:val="003B5AD1"/>
    <w:rsid w:val="003E1B05"/>
    <w:rsid w:val="003E5E94"/>
    <w:rsid w:val="0040095F"/>
    <w:rsid w:val="004055B4"/>
    <w:rsid w:val="004136C1"/>
    <w:rsid w:val="00423F11"/>
    <w:rsid w:val="004332B6"/>
    <w:rsid w:val="004433A8"/>
    <w:rsid w:val="00452E02"/>
    <w:rsid w:val="00453A2E"/>
    <w:rsid w:val="0046314C"/>
    <w:rsid w:val="00477BF1"/>
    <w:rsid w:val="00490906"/>
    <w:rsid w:val="004921F1"/>
    <w:rsid w:val="004A28C0"/>
    <w:rsid w:val="004A6306"/>
    <w:rsid w:val="004B59AA"/>
    <w:rsid w:val="004E5DD7"/>
    <w:rsid w:val="004E7DDC"/>
    <w:rsid w:val="0050404E"/>
    <w:rsid w:val="005042DE"/>
    <w:rsid w:val="00513DCA"/>
    <w:rsid w:val="005469AA"/>
    <w:rsid w:val="00575125"/>
    <w:rsid w:val="00591157"/>
    <w:rsid w:val="005A0436"/>
    <w:rsid w:val="005A355F"/>
    <w:rsid w:val="005A3E75"/>
    <w:rsid w:val="005C27C4"/>
    <w:rsid w:val="005D0798"/>
    <w:rsid w:val="005D22D2"/>
    <w:rsid w:val="005F2490"/>
    <w:rsid w:val="005F3827"/>
    <w:rsid w:val="0060388E"/>
    <w:rsid w:val="00603A99"/>
    <w:rsid w:val="006168DD"/>
    <w:rsid w:val="00691DA8"/>
    <w:rsid w:val="006A3630"/>
    <w:rsid w:val="006B30B3"/>
    <w:rsid w:val="006C05F9"/>
    <w:rsid w:val="006C187C"/>
    <w:rsid w:val="00707098"/>
    <w:rsid w:val="007218B1"/>
    <w:rsid w:val="007265F6"/>
    <w:rsid w:val="0073359B"/>
    <w:rsid w:val="00763900"/>
    <w:rsid w:val="007777FB"/>
    <w:rsid w:val="00786915"/>
    <w:rsid w:val="00792DC4"/>
    <w:rsid w:val="007B2D3C"/>
    <w:rsid w:val="007C1059"/>
    <w:rsid w:val="007E394F"/>
    <w:rsid w:val="007F1991"/>
    <w:rsid w:val="00807672"/>
    <w:rsid w:val="008146DE"/>
    <w:rsid w:val="00816541"/>
    <w:rsid w:val="008241FA"/>
    <w:rsid w:val="008343D7"/>
    <w:rsid w:val="00843C56"/>
    <w:rsid w:val="00855462"/>
    <w:rsid w:val="00867217"/>
    <w:rsid w:val="0087334C"/>
    <w:rsid w:val="00875B7E"/>
    <w:rsid w:val="008D57D6"/>
    <w:rsid w:val="008D625A"/>
    <w:rsid w:val="008F0CDF"/>
    <w:rsid w:val="0090599E"/>
    <w:rsid w:val="009211CD"/>
    <w:rsid w:val="00935DBC"/>
    <w:rsid w:val="009447D8"/>
    <w:rsid w:val="00990D15"/>
    <w:rsid w:val="00996D7E"/>
    <w:rsid w:val="009B1276"/>
    <w:rsid w:val="009B5CAA"/>
    <w:rsid w:val="00A13605"/>
    <w:rsid w:val="00A24B52"/>
    <w:rsid w:val="00A33C96"/>
    <w:rsid w:val="00A45671"/>
    <w:rsid w:val="00A53324"/>
    <w:rsid w:val="00A557FC"/>
    <w:rsid w:val="00A70EAE"/>
    <w:rsid w:val="00A86410"/>
    <w:rsid w:val="00A95F47"/>
    <w:rsid w:val="00A97BFA"/>
    <w:rsid w:val="00AB182E"/>
    <w:rsid w:val="00AB59C8"/>
    <w:rsid w:val="00AD30B4"/>
    <w:rsid w:val="00AE0D03"/>
    <w:rsid w:val="00AF5255"/>
    <w:rsid w:val="00B16558"/>
    <w:rsid w:val="00B521A3"/>
    <w:rsid w:val="00B55ED4"/>
    <w:rsid w:val="00B60420"/>
    <w:rsid w:val="00B6575E"/>
    <w:rsid w:val="00B677EC"/>
    <w:rsid w:val="00B7178E"/>
    <w:rsid w:val="00B71B7F"/>
    <w:rsid w:val="00B74429"/>
    <w:rsid w:val="00B8422A"/>
    <w:rsid w:val="00BA0F77"/>
    <w:rsid w:val="00BB4B92"/>
    <w:rsid w:val="00BC543B"/>
    <w:rsid w:val="00BD2A1F"/>
    <w:rsid w:val="00BD375C"/>
    <w:rsid w:val="00BD3F42"/>
    <w:rsid w:val="00BF0A20"/>
    <w:rsid w:val="00BF50D5"/>
    <w:rsid w:val="00C1270B"/>
    <w:rsid w:val="00C2499F"/>
    <w:rsid w:val="00C2590B"/>
    <w:rsid w:val="00C44E06"/>
    <w:rsid w:val="00C5687A"/>
    <w:rsid w:val="00C73E86"/>
    <w:rsid w:val="00C740A0"/>
    <w:rsid w:val="00C871B7"/>
    <w:rsid w:val="00CF3962"/>
    <w:rsid w:val="00CF6609"/>
    <w:rsid w:val="00D0639B"/>
    <w:rsid w:val="00D11663"/>
    <w:rsid w:val="00D177AB"/>
    <w:rsid w:val="00D37E2D"/>
    <w:rsid w:val="00D41B0D"/>
    <w:rsid w:val="00D51917"/>
    <w:rsid w:val="00D906E7"/>
    <w:rsid w:val="00D972FC"/>
    <w:rsid w:val="00DA195D"/>
    <w:rsid w:val="00DB64FC"/>
    <w:rsid w:val="00DD733A"/>
    <w:rsid w:val="00DF2C83"/>
    <w:rsid w:val="00DF698A"/>
    <w:rsid w:val="00DF6D10"/>
    <w:rsid w:val="00E109F0"/>
    <w:rsid w:val="00E32E87"/>
    <w:rsid w:val="00E35947"/>
    <w:rsid w:val="00E55A71"/>
    <w:rsid w:val="00E757F7"/>
    <w:rsid w:val="00E77CF7"/>
    <w:rsid w:val="00E9078D"/>
    <w:rsid w:val="00E945CB"/>
    <w:rsid w:val="00EA47F6"/>
    <w:rsid w:val="00EA6EC5"/>
    <w:rsid w:val="00ED26A9"/>
    <w:rsid w:val="00EE11DB"/>
    <w:rsid w:val="00EE7E32"/>
    <w:rsid w:val="00EF1FC9"/>
    <w:rsid w:val="00F00FBC"/>
    <w:rsid w:val="00F06D9F"/>
    <w:rsid w:val="00F21E6C"/>
    <w:rsid w:val="00F707B0"/>
    <w:rsid w:val="00F81E09"/>
    <w:rsid w:val="00F832F5"/>
    <w:rsid w:val="00FB1684"/>
    <w:rsid w:val="00FD371E"/>
    <w:rsid w:val="00FD7ABC"/>
    <w:rsid w:val="00FD7EAF"/>
    <w:rsid w:val="00FF1DF6"/>
    <w:rsid w:val="00FF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F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B64F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4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D3F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86gkh.ru/jku/consultation/ask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opros-jkh@adminugra.ru" TargetMode="External"/><Relationship Id="rId11" Type="http://schemas.openxmlformats.org/officeDocument/2006/relationships/chart" Target="charts/chart5.xml"/><Relationship Id="rId5" Type="http://schemas.openxmlformats.org/officeDocument/2006/relationships/chart" Target="charts/chart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вопросов граждан во 2 кв. 2012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161</c:v>
                </c:pt>
                <c:pt idx="1">
                  <c:v>73</c:v>
                </c:pt>
                <c:pt idx="2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вопросов граждан во 2 кв. 2013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191</c:v>
                </c:pt>
                <c:pt idx="1">
                  <c:v>114</c:v>
                </c:pt>
                <c:pt idx="2">
                  <c:v>99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вопросов граждан во 2 кв. 2014 г.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Апрель</c:v>
                </c:pt>
                <c:pt idx="1">
                  <c:v>Май</c:v>
                </c:pt>
                <c:pt idx="2">
                  <c:v>Июнь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93</c:v>
                </c:pt>
                <c:pt idx="1">
                  <c:v>69</c:v>
                </c:pt>
                <c:pt idx="2">
                  <c:v>86</c:v>
                </c:pt>
              </c:numCache>
            </c:numRef>
          </c:val>
        </c:ser>
        <c:dLbls>
          <c:showVal val="1"/>
        </c:dLbls>
        <c:gapWidth val="75"/>
        <c:axId val="45844352"/>
        <c:axId val="45845888"/>
      </c:barChart>
      <c:catAx>
        <c:axId val="45844352"/>
        <c:scaling>
          <c:orientation val="minMax"/>
        </c:scaling>
        <c:axPos val="b"/>
        <c:numFmt formatCode="General" sourceLinked="1"/>
        <c:majorTickMark val="none"/>
        <c:tickLblPos val="nextTo"/>
        <c:crossAx val="45845888"/>
        <c:crosses val="autoZero"/>
        <c:auto val="1"/>
        <c:lblAlgn val="ctr"/>
        <c:lblOffset val="100"/>
      </c:catAx>
      <c:valAx>
        <c:axId val="45845888"/>
        <c:scaling>
          <c:orientation val="minMax"/>
        </c:scaling>
        <c:axPos val="l"/>
        <c:numFmt formatCode="General" sourceLinked="1"/>
        <c:majorTickMark val="none"/>
        <c:tickLblPos val="nextTo"/>
        <c:crossAx val="45844352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"Горячая линия"</c:v>
                </c:pt>
                <c:pt idx="1">
                  <c:v>Телефон КПЦ</c:v>
                </c:pt>
                <c:pt idx="2">
                  <c:v>Соц. Сети</c:v>
                </c:pt>
                <c:pt idx="3">
                  <c:v>Эл. Почта</c:v>
                </c:pt>
                <c:pt idx="4">
                  <c:v>ТПдЖ</c:v>
                </c:pt>
                <c:pt idx="5">
                  <c:v>Личный прием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224</c:v>
                </c:pt>
                <c:pt idx="1">
                  <c:v>7</c:v>
                </c:pt>
                <c:pt idx="2">
                  <c:v>7</c:v>
                </c:pt>
                <c:pt idx="3">
                  <c:v>5</c:v>
                </c:pt>
                <c:pt idx="4">
                  <c:v>4</c:v>
                </c:pt>
                <c:pt idx="5">
                  <c:v>1</c:v>
                </c:pt>
              </c:numCache>
            </c:numRef>
          </c:val>
        </c:ser>
        <c:dLbls>
          <c:showVal val="1"/>
        </c:dLbls>
        <c:gapWidth val="75"/>
        <c:axId val="46462080"/>
        <c:axId val="46463616"/>
      </c:barChart>
      <c:catAx>
        <c:axId val="46462080"/>
        <c:scaling>
          <c:orientation val="minMax"/>
        </c:scaling>
        <c:axPos val="b"/>
        <c:majorTickMark val="none"/>
        <c:tickLblPos val="nextTo"/>
        <c:crossAx val="46463616"/>
        <c:crosses val="autoZero"/>
        <c:auto val="1"/>
        <c:lblAlgn val="ctr"/>
        <c:lblOffset val="100"/>
      </c:catAx>
      <c:valAx>
        <c:axId val="46463616"/>
        <c:scaling>
          <c:orientation val="minMax"/>
        </c:scaling>
        <c:axPos val="l"/>
        <c:numFmt formatCode="General" sourceLinked="1"/>
        <c:majorTickMark val="none"/>
        <c:tickLblPos val="nextTo"/>
        <c:crossAx val="46462080"/>
        <c:crosses val="autoZero"/>
        <c:crossBetween val="between"/>
      </c:valAx>
    </c:plotArea>
    <c:plotVisOnly val="1"/>
    <c:dispBlanksAs val="gap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обращений граждан</c:v>
                </c:pt>
              </c:strCache>
            </c:strRef>
          </c:tx>
          <c:cat>
            <c:strRef>
              <c:f>Лист1!$A$2:$A$23</c:f>
              <c:strCache>
                <c:ptCount val="22"/>
                <c:pt idx="0">
                  <c:v>Сургут</c:v>
                </c:pt>
                <c:pt idx="1">
                  <c:v>Ханты-Мансийск</c:v>
                </c:pt>
                <c:pt idx="2">
                  <c:v>Пыть-Ях</c:v>
                </c:pt>
                <c:pt idx="3">
                  <c:v>Сургутский р-н</c:v>
                </c:pt>
                <c:pt idx="4">
                  <c:v>Нягань</c:v>
                </c:pt>
                <c:pt idx="5">
                  <c:v>Урай</c:v>
                </c:pt>
                <c:pt idx="6">
                  <c:v>Нижневартовск</c:v>
                </c:pt>
                <c:pt idx="7">
                  <c:v>Когалым</c:v>
                </c:pt>
                <c:pt idx="8">
                  <c:v>Мегион</c:v>
                </c:pt>
                <c:pt idx="9">
                  <c:v>Советский р-н</c:v>
                </c:pt>
                <c:pt idx="10">
                  <c:v>Лангепас</c:v>
                </c:pt>
                <c:pt idx="11">
                  <c:v>Октябрьский р-н</c:v>
                </c:pt>
                <c:pt idx="12">
                  <c:v>Белоярский р-н</c:v>
                </c:pt>
                <c:pt idx="13">
                  <c:v>Березовский р-н</c:v>
                </c:pt>
                <c:pt idx="14">
                  <c:v>Нефтеюганск</c:v>
                </c:pt>
                <c:pt idx="15">
                  <c:v>Кондинский р-н</c:v>
                </c:pt>
                <c:pt idx="16">
                  <c:v>Ханты-Мансийский р-н</c:v>
                </c:pt>
                <c:pt idx="17">
                  <c:v>Нижневартовский р-н</c:v>
                </c:pt>
                <c:pt idx="18">
                  <c:v>Югорск</c:v>
                </c:pt>
                <c:pt idx="19">
                  <c:v>Нефтеюганский р-н</c:v>
                </c:pt>
                <c:pt idx="20">
                  <c:v>Покачи</c:v>
                </c:pt>
                <c:pt idx="21">
                  <c:v>Радужный</c:v>
                </c:pt>
              </c:strCache>
            </c:strRef>
          </c:cat>
          <c:val>
            <c:numRef>
              <c:f>Лист1!$B$2:$B$23</c:f>
              <c:numCache>
                <c:formatCode>General</c:formatCode>
                <c:ptCount val="22"/>
                <c:pt idx="0">
                  <c:v>51</c:v>
                </c:pt>
                <c:pt idx="1">
                  <c:v>30</c:v>
                </c:pt>
                <c:pt idx="2">
                  <c:v>24</c:v>
                </c:pt>
                <c:pt idx="3">
                  <c:v>21</c:v>
                </c:pt>
                <c:pt idx="4">
                  <c:v>17</c:v>
                </c:pt>
                <c:pt idx="5">
                  <c:v>16</c:v>
                </c:pt>
                <c:pt idx="6">
                  <c:v>14</c:v>
                </c:pt>
                <c:pt idx="7">
                  <c:v>12</c:v>
                </c:pt>
                <c:pt idx="8">
                  <c:v>9</c:v>
                </c:pt>
                <c:pt idx="9">
                  <c:v>9</c:v>
                </c:pt>
                <c:pt idx="10">
                  <c:v>8</c:v>
                </c:pt>
                <c:pt idx="11">
                  <c:v>8</c:v>
                </c:pt>
                <c:pt idx="12">
                  <c:v>7</c:v>
                </c:pt>
                <c:pt idx="13">
                  <c:v>6</c:v>
                </c:pt>
                <c:pt idx="14">
                  <c:v>6</c:v>
                </c:pt>
                <c:pt idx="15">
                  <c:v>5</c:v>
                </c:pt>
                <c:pt idx="16">
                  <c:v>3</c:v>
                </c:pt>
                <c:pt idx="17">
                  <c:v>1</c:v>
                </c:pt>
                <c:pt idx="18">
                  <c:v>1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</c:numCache>
            </c:numRef>
          </c:val>
        </c:ser>
        <c:dLbls>
          <c:showVal val="1"/>
        </c:dLbls>
        <c:gapWidth val="75"/>
        <c:axId val="100353152"/>
        <c:axId val="100360192"/>
      </c:barChart>
      <c:catAx>
        <c:axId val="100353152"/>
        <c:scaling>
          <c:orientation val="minMax"/>
        </c:scaling>
        <c:axPos val="b"/>
        <c:numFmt formatCode="General" sourceLinked="1"/>
        <c:majorTickMark val="none"/>
        <c:tickLblPos val="nextTo"/>
        <c:crossAx val="100360192"/>
        <c:crosses val="autoZero"/>
        <c:auto val="1"/>
        <c:lblAlgn val="ctr"/>
        <c:lblOffset val="100"/>
      </c:catAx>
      <c:valAx>
        <c:axId val="100360192"/>
        <c:scaling>
          <c:orientation val="minMax"/>
        </c:scaling>
        <c:axPos val="l"/>
        <c:numFmt formatCode="General" sourceLinked="1"/>
        <c:majorTickMark val="none"/>
        <c:tickLblPos val="nextTo"/>
        <c:crossAx val="100353152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0.10299936452358206"/>
                  <c:y val="1.8436230503034255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8.7877719186758491E-2"/>
                  <c:y val="-6.781706426824063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0.1083252460892951"/>
                  <c:y val="-1.5131484360633277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5.7327548113140104E-3"/>
                  <c:y val="0.11597193662894048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4.6487246282883796E-2"/>
                  <c:y val="0.16260394202317066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0.11654486000580765"/>
                  <c:y val="9.3665011618770597E-2"/>
                </c:manualLayout>
              </c:layout>
              <c:showCatName val="1"/>
              <c:showPercent val="1"/>
            </c:dLbl>
            <c:dLbl>
              <c:idx val="6"/>
              <c:layout>
                <c:manualLayout>
                  <c:x val="-0.13643586107054631"/>
                  <c:y val="1.9111623785880334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Управление многоквартирным домом
3%</a:t>
                    </a:r>
                  </a:p>
                </c:rich>
              </c:tx>
              <c:showCatName val="1"/>
              <c:showPercent val="1"/>
            </c:dLbl>
            <c:dLbl>
              <c:idx val="7"/>
              <c:layout>
                <c:manualLayout>
                  <c:x val="3.5559745304418452E-2"/>
                  <c:y val="-4.2718513688973649E-2"/>
                </c:manualLayout>
              </c:layout>
              <c:showCatName val="1"/>
              <c:showPercent val="1"/>
            </c:dLbl>
            <c:dLbl>
              <c:idx val="8"/>
              <c:delete val="1"/>
            </c:dLbl>
            <c:dLbl>
              <c:idx val="9"/>
              <c:delete val="1"/>
            </c:dLbl>
            <c:dLbl>
              <c:idx val="10"/>
              <c:layout>
                <c:manualLayout>
                  <c:x val="4.0082320683087293E-2"/>
                  <c:y val="4.0637876236077373E-4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100"/>
                </a:pPr>
                <a:endParaRPr lang="ru-RU"/>
              </a:p>
            </c:txPr>
            <c:showCatName val="1"/>
            <c:showPercent val="1"/>
            <c:showLeaderLines val="1"/>
          </c:dLbls>
          <c:cat>
            <c:strRef>
              <c:f>Лист1!$A$2:$A$12</c:f>
              <c:strCache>
                <c:ptCount val="11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Горячее водоснабжение</c:v>
                </c:pt>
                <c:pt idx="3">
                  <c:v>Холодное водоснабжение</c:v>
                </c:pt>
                <c:pt idx="4">
                  <c:v>Установка прибороы</c:v>
                </c:pt>
                <c:pt idx="5">
                  <c:v>Элктроснабжение</c:v>
                </c:pt>
                <c:pt idx="6">
                  <c:v>Водоотведение</c:v>
                </c:pt>
                <c:pt idx="7">
                  <c:v>Упраление МКД</c:v>
                </c:pt>
                <c:pt idx="8">
                  <c:v>Капитальный ремонт</c:v>
                </c:pt>
                <c:pt idx="9">
                  <c:v>Газоснабжение</c:v>
                </c:pt>
                <c:pt idx="10">
                  <c:v>Иные 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78</c:v>
                </c:pt>
                <c:pt idx="1">
                  <c:v>53</c:v>
                </c:pt>
                <c:pt idx="2">
                  <c:v>51</c:v>
                </c:pt>
                <c:pt idx="3">
                  <c:v>42</c:v>
                </c:pt>
                <c:pt idx="4">
                  <c:v>25</c:v>
                </c:pt>
                <c:pt idx="5">
                  <c:v>12</c:v>
                </c:pt>
                <c:pt idx="6">
                  <c:v>10</c:v>
                </c:pt>
                <c:pt idx="7">
                  <c:v>10</c:v>
                </c:pt>
                <c:pt idx="8">
                  <c:v>6</c:v>
                </c:pt>
                <c:pt idx="9">
                  <c:v>1</c:v>
                </c:pt>
                <c:pt idx="10">
                  <c:v>10</c:v>
                </c:pt>
              </c:numCache>
            </c:numRef>
          </c:val>
        </c:ser>
        <c:dLbls>
          <c:showCatName val="1"/>
          <c:showPercent val="1"/>
        </c:dLbls>
        <c:firstSliceAng val="0"/>
      </c:pieChart>
    </c:plotArea>
    <c:plotVisOnly val="1"/>
    <c:dispBlanksAs val="zero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предоставления услуг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Горячее водоснабжение</c:v>
                </c:pt>
                <c:pt idx="3">
                  <c:v>Холодное водоснабжение</c:v>
                </c:pt>
                <c:pt idx="4">
                  <c:v>Установка приборов</c:v>
                </c:pt>
                <c:pt idx="5">
                  <c:v>Электроснабжение</c:v>
                </c:pt>
                <c:pt idx="6">
                  <c:v>Водоотведение</c:v>
                </c:pt>
                <c:pt idx="7">
                  <c:v>Капитальный ремонт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58</c:v>
                </c:pt>
                <c:pt idx="1">
                  <c:v>31</c:v>
                </c:pt>
                <c:pt idx="2">
                  <c:v>27</c:v>
                </c:pt>
                <c:pt idx="3">
                  <c:v>14</c:v>
                </c:pt>
                <c:pt idx="4">
                  <c:v>9</c:v>
                </c:pt>
                <c:pt idx="5">
                  <c:v>1</c:v>
                </c:pt>
                <c:pt idx="6">
                  <c:v>8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Порядок расчета платы</c:v>
                </c:pt>
              </c:strCache>
            </c:strRef>
          </c:tx>
          <c:cat>
            <c:strRef>
              <c:f>Лист1!$A$2:$A$10</c:f>
              <c:strCache>
                <c:ptCount val="9"/>
                <c:pt idx="0">
                  <c:v>Ремонт и содержание</c:v>
                </c:pt>
                <c:pt idx="1">
                  <c:v>Отопление</c:v>
                </c:pt>
                <c:pt idx="2">
                  <c:v>Горячее водоснабжение</c:v>
                </c:pt>
                <c:pt idx="3">
                  <c:v>Холодное водоснабжение</c:v>
                </c:pt>
                <c:pt idx="4">
                  <c:v>Установка приборов</c:v>
                </c:pt>
                <c:pt idx="5">
                  <c:v>Электроснабжение</c:v>
                </c:pt>
                <c:pt idx="6">
                  <c:v>Водоотведение</c:v>
                </c:pt>
                <c:pt idx="7">
                  <c:v>Капитальный ремонт</c:v>
                </c:pt>
                <c:pt idx="8">
                  <c:v>Газоснабжение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20</c:v>
                </c:pt>
                <c:pt idx="1">
                  <c:v>22</c:v>
                </c:pt>
                <c:pt idx="2">
                  <c:v>24</c:v>
                </c:pt>
                <c:pt idx="3">
                  <c:v>28</c:v>
                </c:pt>
                <c:pt idx="4">
                  <c:v>16</c:v>
                </c:pt>
                <c:pt idx="5">
                  <c:v>11</c:v>
                </c:pt>
                <c:pt idx="6">
                  <c:v>2</c:v>
                </c:pt>
                <c:pt idx="7">
                  <c:v>5</c:v>
                </c:pt>
                <c:pt idx="8">
                  <c:v>0</c:v>
                </c:pt>
              </c:numCache>
            </c:numRef>
          </c:val>
        </c:ser>
        <c:dLbls>
          <c:showVal val="1"/>
        </c:dLbls>
        <c:gapWidth val="75"/>
        <c:axId val="45944832"/>
        <c:axId val="45946368"/>
      </c:barChart>
      <c:catAx>
        <c:axId val="45944832"/>
        <c:scaling>
          <c:orientation val="minMax"/>
        </c:scaling>
        <c:axPos val="b"/>
        <c:numFmt formatCode="General" sourceLinked="1"/>
        <c:majorTickMark val="none"/>
        <c:tickLblPos val="nextTo"/>
        <c:crossAx val="45946368"/>
        <c:crosses val="autoZero"/>
        <c:auto val="1"/>
        <c:lblAlgn val="ctr"/>
        <c:lblOffset val="100"/>
      </c:catAx>
      <c:valAx>
        <c:axId val="45946368"/>
        <c:scaling>
          <c:orientation val="minMax"/>
        </c:scaling>
        <c:axPos val="l"/>
        <c:numFmt formatCode="General" sourceLinked="1"/>
        <c:majorTickMark val="none"/>
        <c:tickLblPos val="nextTo"/>
        <c:crossAx val="45944832"/>
        <c:crosses val="autoZero"/>
        <c:crossBetween val="between"/>
      </c:valAx>
    </c:plotArea>
    <c:legend>
      <c:legendPos val="b"/>
    </c:legend>
    <c:plotVisOnly val="1"/>
    <c:dispBlanksAs val="gap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РИУ</Company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I.Turygin</dc:creator>
  <cp:keywords/>
  <dc:description/>
  <cp:lastModifiedBy>M_Dorohova</cp:lastModifiedBy>
  <cp:revision>17</cp:revision>
  <dcterms:created xsi:type="dcterms:W3CDTF">2014-07-07T09:03:00Z</dcterms:created>
  <dcterms:modified xsi:type="dcterms:W3CDTF">2014-07-15T04:22:00Z</dcterms:modified>
</cp:coreProperties>
</file>