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22" w:rsidRDefault="000D0022" w:rsidP="000D0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Консультационно-пр</w:t>
      </w:r>
      <w:r w:rsidR="008D625A">
        <w:rPr>
          <w:rFonts w:ascii="Times New Roman" w:hAnsi="Times New Roman" w:cs="Times New Roman"/>
          <w:b/>
          <w:sz w:val="24"/>
          <w:szCs w:val="24"/>
        </w:rPr>
        <w:t>авового центра в 1 квартале 2014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D0022" w:rsidRDefault="008D625A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первого квартала 2014</w:t>
      </w:r>
      <w:r w:rsidR="000D0022">
        <w:rPr>
          <w:rFonts w:ascii="Times New Roman" w:hAnsi="Times New Roman" w:cs="Times New Roman"/>
          <w:sz w:val="24"/>
          <w:szCs w:val="24"/>
        </w:rPr>
        <w:t xml:space="preserve"> года, специалистами центра проведена активная комплексная работа по обеспечению выполнения, поставленных перед центром целей и задач.</w:t>
      </w:r>
    </w:p>
    <w:p w:rsidR="000D0022" w:rsidRDefault="000D0022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Консультационная деятельность центра.</w:t>
      </w:r>
    </w:p>
    <w:p w:rsidR="00DD733A" w:rsidRDefault="008D625A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первом квартале 2014</w:t>
      </w:r>
      <w:r w:rsidR="000D0022">
        <w:rPr>
          <w:rFonts w:ascii="Times New Roman" w:hAnsi="Times New Roman" w:cs="Times New Roman"/>
          <w:sz w:val="24"/>
          <w:szCs w:val="24"/>
        </w:rPr>
        <w:t xml:space="preserve"> года в Консультационно-правовой центр по вопросам защиты и обеспечения прав граждан при предоставлении жилищно-коммунальных услуг Ханты-Мансийского автономного округа – </w:t>
      </w:r>
      <w:proofErr w:type="spellStart"/>
      <w:r w:rsidR="000D0022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0D0022">
        <w:rPr>
          <w:rFonts w:ascii="Times New Roman" w:hAnsi="Times New Roman" w:cs="Times New Roman"/>
          <w:sz w:val="24"/>
          <w:szCs w:val="24"/>
        </w:rPr>
        <w:t xml:space="preserve"> </w:t>
      </w:r>
      <w:r w:rsidR="00C740A0">
        <w:rPr>
          <w:rFonts w:ascii="Times New Roman" w:hAnsi="Times New Roman" w:cs="Times New Roman"/>
          <w:sz w:val="24"/>
          <w:szCs w:val="24"/>
        </w:rPr>
        <w:t>обратилось</w:t>
      </w:r>
      <w:r>
        <w:rPr>
          <w:rFonts w:ascii="Times New Roman" w:hAnsi="Times New Roman" w:cs="Times New Roman"/>
          <w:sz w:val="24"/>
          <w:szCs w:val="24"/>
        </w:rPr>
        <w:t xml:space="preserve"> 469</w:t>
      </w:r>
      <w:r w:rsidR="000D0022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="00202F3E">
        <w:rPr>
          <w:rFonts w:ascii="Times New Roman" w:hAnsi="Times New Roman" w:cs="Times New Roman"/>
          <w:sz w:val="24"/>
          <w:szCs w:val="24"/>
        </w:rPr>
        <w:t xml:space="preserve"> По состоянию на 31.03.14 дано 438 консультаций гражданам, в том числе по 14 вопросам, поступившим в декабре 2013 года. Для дополнительного рассмотрения в </w:t>
      </w:r>
      <w:r w:rsidR="005A3E75">
        <w:rPr>
          <w:rFonts w:ascii="Times New Roman" w:hAnsi="Times New Roman" w:cs="Times New Roman"/>
          <w:sz w:val="24"/>
          <w:szCs w:val="24"/>
        </w:rPr>
        <w:t>работу муниципальных образований автономного округа было направлено 21 обращение граждан.</w:t>
      </w:r>
      <w:r w:rsidR="00202F3E">
        <w:rPr>
          <w:rFonts w:ascii="Times New Roman" w:hAnsi="Times New Roman" w:cs="Times New Roman"/>
          <w:sz w:val="24"/>
          <w:szCs w:val="24"/>
        </w:rPr>
        <w:t xml:space="preserve"> </w:t>
      </w:r>
      <w:r w:rsidR="000D0022">
        <w:rPr>
          <w:rFonts w:ascii="Times New Roman" w:hAnsi="Times New Roman" w:cs="Times New Roman"/>
          <w:sz w:val="24"/>
          <w:szCs w:val="24"/>
        </w:rPr>
        <w:t xml:space="preserve"> За аналогичный период прошлого года </w:t>
      </w:r>
      <w:r w:rsidR="00C740A0">
        <w:rPr>
          <w:rFonts w:ascii="Times New Roman" w:hAnsi="Times New Roman" w:cs="Times New Roman"/>
          <w:sz w:val="24"/>
          <w:szCs w:val="24"/>
        </w:rPr>
        <w:t>обратилось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511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 w:rsidR="00C740A0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Большее количество </w:t>
      </w:r>
      <w:r w:rsidR="003E5E94">
        <w:rPr>
          <w:rFonts w:ascii="Times New Roman" w:hAnsi="Times New Roman" w:cs="Times New Roman"/>
          <w:sz w:val="24"/>
          <w:szCs w:val="24"/>
        </w:rPr>
        <w:t xml:space="preserve">вопросов граждан </w:t>
      </w:r>
      <w:r>
        <w:rPr>
          <w:rFonts w:ascii="Times New Roman" w:hAnsi="Times New Roman" w:cs="Times New Roman"/>
          <w:sz w:val="24"/>
          <w:szCs w:val="24"/>
        </w:rPr>
        <w:t xml:space="preserve">в 2013 году было вызвано </w:t>
      </w:r>
      <w:r w:rsidR="003E5E94">
        <w:rPr>
          <w:rFonts w:ascii="Times New Roman" w:hAnsi="Times New Roman" w:cs="Times New Roman"/>
          <w:sz w:val="24"/>
          <w:szCs w:val="24"/>
        </w:rPr>
        <w:t>вступление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E5E94">
        <w:rPr>
          <w:rFonts w:ascii="Times New Roman" w:hAnsi="Times New Roman" w:cs="Times New Roman"/>
          <w:sz w:val="24"/>
          <w:szCs w:val="24"/>
        </w:rPr>
        <w:t xml:space="preserve"> в силу</w:t>
      </w:r>
      <w:r w:rsidR="00DF6D10">
        <w:rPr>
          <w:rFonts w:ascii="Times New Roman" w:hAnsi="Times New Roman" w:cs="Times New Roman"/>
          <w:sz w:val="24"/>
          <w:szCs w:val="24"/>
        </w:rPr>
        <w:t xml:space="preserve"> 1 сентября 2012 года</w:t>
      </w:r>
      <w:r w:rsidR="003E5E94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№354 «О предоставлении коммунальных услуг собственникам и пользователям помещений в многоквартирных домах и жилых домов»</w:t>
      </w:r>
      <w:r w:rsidR="00DF6D10">
        <w:rPr>
          <w:rFonts w:ascii="Times New Roman" w:hAnsi="Times New Roman" w:cs="Times New Roman"/>
          <w:sz w:val="24"/>
          <w:szCs w:val="24"/>
        </w:rPr>
        <w:t xml:space="preserve">, в соответствие с которым потребители коммунальных услуг оплачивают не только ресурсы, которые потребили сами, но и коммунальные ресурсы, использованные на </w:t>
      </w:r>
      <w:proofErr w:type="spellStart"/>
      <w:r w:rsidR="00DF6D10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="00DF6D10">
        <w:rPr>
          <w:rFonts w:ascii="Times New Roman" w:hAnsi="Times New Roman" w:cs="Times New Roman"/>
          <w:sz w:val="24"/>
          <w:szCs w:val="24"/>
        </w:rPr>
        <w:t xml:space="preserve"> нужды.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порядок оплаты за коммунальные услуги действует уже 2012 года, что вызывает меньшее количество вопросов граждан.</w:t>
      </w:r>
    </w:p>
    <w:p w:rsidR="009447D8" w:rsidRPr="009447D8" w:rsidRDefault="002924B0" w:rsidP="000D00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30B4" w:rsidRDefault="00AD30B4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Обратиться в Консультационный центр граждане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позвонив на телефон «горячей линии» 8 800 10 10</w:t>
      </w:r>
      <w:r w:rsidR="00DB64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086</w:t>
      </w:r>
      <w:r w:rsidR="00DB64FC">
        <w:rPr>
          <w:rFonts w:ascii="Times New Roman" w:hAnsi="Times New Roman" w:cs="Times New Roman"/>
          <w:sz w:val="24"/>
          <w:szCs w:val="24"/>
        </w:rPr>
        <w:t xml:space="preserve">, направив свой вопрос на электронный ящик </w:t>
      </w:r>
      <w:hyperlink r:id="rId6" w:history="1">
        <w:r w:rsidR="00DB64FC" w:rsidRPr="005A17F8">
          <w:rPr>
            <w:rStyle w:val="a3"/>
            <w:rFonts w:ascii="Times New Roman" w:hAnsi="Times New Roman" w:cs="Times New Roman"/>
            <w:sz w:val="24"/>
            <w:szCs w:val="24"/>
          </w:rPr>
          <w:t>vopros-jkh@adminugra.ru</w:t>
        </w:r>
      </w:hyperlink>
      <w:r w:rsidR="00DB64FC">
        <w:rPr>
          <w:rFonts w:ascii="Times New Roman" w:hAnsi="Times New Roman" w:cs="Times New Roman"/>
          <w:sz w:val="24"/>
          <w:szCs w:val="24"/>
        </w:rPr>
        <w:t xml:space="preserve"> </w:t>
      </w:r>
      <w:r w:rsidR="00DB64FC" w:rsidRPr="00DB64FC">
        <w:rPr>
          <w:rFonts w:ascii="Times New Roman" w:hAnsi="Times New Roman" w:cs="Times New Roman"/>
          <w:sz w:val="24"/>
          <w:szCs w:val="24"/>
        </w:rPr>
        <w:t xml:space="preserve">или с помощью сайтов муниципальных образований автономного округа. </w:t>
      </w:r>
      <w:r w:rsidR="00DB64FC">
        <w:rPr>
          <w:rFonts w:ascii="Times New Roman" w:hAnsi="Times New Roman" w:cs="Times New Roman"/>
          <w:sz w:val="24"/>
          <w:szCs w:val="24"/>
        </w:rPr>
        <w:t xml:space="preserve">Пользователи социальных сетей </w:t>
      </w:r>
      <w:proofErr w:type="spellStart"/>
      <w:r w:rsidR="00DB64F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B64FC">
        <w:rPr>
          <w:rFonts w:ascii="Times New Roman" w:hAnsi="Times New Roman" w:cs="Times New Roman"/>
        </w:rPr>
        <w:t>, Одноклассники</w:t>
      </w:r>
      <w:r w:rsidR="008D625A">
        <w:rPr>
          <w:rFonts w:ascii="Times New Roman" w:hAnsi="Times New Roman" w:cs="Times New Roman"/>
          <w:sz w:val="24"/>
          <w:szCs w:val="24"/>
        </w:rPr>
        <w:t xml:space="preserve"> </w:t>
      </w:r>
      <w:r w:rsidR="00DB64FC">
        <w:rPr>
          <w:rFonts w:ascii="Times New Roman" w:hAnsi="Times New Roman"/>
          <w:sz w:val="24"/>
          <w:szCs w:val="24"/>
        </w:rPr>
        <w:t>могут задать интересующие их вопросы и по</w:t>
      </w:r>
      <w:r w:rsidR="00935DBC">
        <w:rPr>
          <w:rFonts w:ascii="Times New Roman" w:hAnsi="Times New Roman"/>
          <w:sz w:val="24"/>
          <w:szCs w:val="24"/>
        </w:rPr>
        <w:t xml:space="preserve">лучить </w:t>
      </w:r>
      <w:proofErr w:type="spellStart"/>
      <w:r w:rsidR="00935DBC">
        <w:rPr>
          <w:rFonts w:ascii="Times New Roman" w:hAnsi="Times New Roman"/>
          <w:sz w:val="24"/>
          <w:szCs w:val="24"/>
        </w:rPr>
        <w:t>on-line</w:t>
      </w:r>
      <w:proofErr w:type="spellEnd"/>
      <w:r w:rsidR="00935DBC">
        <w:rPr>
          <w:rFonts w:ascii="Times New Roman" w:hAnsi="Times New Roman"/>
          <w:sz w:val="24"/>
          <w:szCs w:val="24"/>
        </w:rPr>
        <w:t xml:space="preserve"> консультацию. Направить обращение в центр можно </w:t>
      </w:r>
      <w:r w:rsidR="008D625A">
        <w:rPr>
          <w:rFonts w:ascii="Times New Roman" w:hAnsi="Times New Roman"/>
          <w:sz w:val="24"/>
          <w:szCs w:val="24"/>
        </w:rPr>
        <w:t xml:space="preserve">с помощью сервиса по приему обращений граждан на сайте «Твой портал </w:t>
      </w:r>
      <w:r w:rsidR="008D625A">
        <w:rPr>
          <w:rFonts w:ascii="Times New Roman" w:hAnsi="Times New Roman"/>
          <w:sz w:val="24"/>
          <w:szCs w:val="24"/>
        </w:rPr>
        <w:lastRenderedPageBreak/>
        <w:t>для жизни» (</w:t>
      </w:r>
      <w:r w:rsidR="008D625A" w:rsidRPr="008D625A">
        <w:rPr>
          <w:rFonts w:ascii="Times New Roman" w:hAnsi="Times New Roman"/>
          <w:sz w:val="24"/>
          <w:szCs w:val="24"/>
        </w:rPr>
        <w:t>http://www.86gkh.ru/jku/consultation/ask/</w:t>
      </w:r>
      <w:r w:rsidR="004136C1">
        <w:rPr>
          <w:rFonts w:ascii="Times New Roman" w:hAnsi="Times New Roman"/>
          <w:sz w:val="24"/>
          <w:szCs w:val="24"/>
        </w:rPr>
        <w:t>)</w:t>
      </w:r>
      <w:r w:rsidR="00935DBC">
        <w:rPr>
          <w:rFonts w:ascii="Times New Roman" w:hAnsi="Times New Roman"/>
          <w:bCs/>
          <w:sz w:val="24"/>
          <w:szCs w:val="24"/>
        </w:rPr>
        <w:t xml:space="preserve">. Получить консультацию граждане </w:t>
      </w:r>
      <w:proofErr w:type="gramStart"/>
      <w:r w:rsidR="00935DBC">
        <w:rPr>
          <w:rFonts w:ascii="Times New Roman" w:hAnsi="Times New Roman"/>
          <w:bCs/>
          <w:sz w:val="24"/>
          <w:szCs w:val="24"/>
        </w:rPr>
        <w:t>могут</w:t>
      </w:r>
      <w:proofErr w:type="gramEnd"/>
      <w:r w:rsidR="00935DBC">
        <w:rPr>
          <w:rFonts w:ascii="Times New Roman" w:hAnsi="Times New Roman"/>
          <w:bCs/>
          <w:sz w:val="24"/>
          <w:szCs w:val="24"/>
        </w:rPr>
        <w:t xml:space="preserve"> позвонив, напрямую в центр или на личном приеме.</w:t>
      </w:r>
    </w:p>
    <w:p w:rsidR="001974CB" w:rsidRDefault="0073359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</w:t>
      </w:r>
      <w:r w:rsidR="004136C1">
        <w:rPr>
          <w:rFonts w:ascii="Times New Roman" w:hAnsi="Times New Roman"/>
          <w:sz w:val="24"/>
          <w:szCs w:val="24"/>
        </w:rPr>
        <w:t xml:space="preserve"> в течение первого квартала 2014</w:t>
      </w:r>
      <w:r>
        <w:rPr>
          <w:rFonts w:ascii="Times New Roman" w:hAnsi="Times New Roman"/>
          <w:sz w:val="24"/>
          <w:szCs w:val="24"/>
        </w:rPr>
        <w:t xml:space="preserve"> года с помощью телефона </w:t>
      </w:r>
      <w:r w:rsidR="0090599E">
        <w:rPr>
          <w:rFonts w:ascii="Times New Roman" w:hAnsi="Times New Roman"/>
          <w:sz w:val="24"/>
          <w:szCs w:val="24"/>
        </w:rPr>
        <w:t>«горяч</w:t>
      </w:r>
      <w:r w:rsidR="004136C1">
        <w:rPr>
          <w:rFonts w:ascii="Times New Roman" w:hAnsi="Times New Roman"/>
          <w:sz w:val="24"/>
          <w:szCs w:val="24"/>
        </w:rPr>
        <w:t>ей линии» в центр обратилось 424</w:t>
      </w:r>
      <w:r w:rsidR="0090599E">
        <w:rPr>
          <w:rFonts w:ascii="Times New Roman" w:hAnsi="Times New Roman"/>
          <w:sz w:val="24"/>
          <w:szCs w:val="24"/>
        </w:rPr>
        <w:t xml:space="preserve"> граждан</w:t>
      </w:r>
      <w:r w:rsidR="004136C1">
        <w:rPr>
          <w:rFonts w:ascii="Times New Roman" w:hAnsi="Times New Roman"/>
          <w:sz w:val="24"/>
          <w:szCs w:val="24"/>
        </w:rPr>
        <w:t>ина</w:t>
      </w:r>
      <w:r w:rsidR="0090599E">
        <w:rPr>
          <w:rFonts w:ascii="Times New Roman" w:hAnsi="Times New Roman"/>
          <w:sz w:val="24"/>
          <w:szCs w:val="24"/>
        </w:rPr>
        <w:t xml:space="preserve"> или 90% от общего числа обратившихся</w:t>
      </w:r>
      <w:r w:rsidR="004136C1">
        <w:rPr>
          <w:rFonts w:ascii="Times New Roman" w:hAnsi="Times New Roman"/>
          <w:sz w:val="24"/>
          <w:szCs w:val="24"/>
        </w:rPr>
        <w:t xml:space="preserve"> граждан</w:t>
      </w:r>
      <w:r w:rsidR="0090599E">
        <w:rPr>
          <w:rFonts w:ascii="Times New Roman" w:hAnsi="Times New Roman"/>
          <w:sz w:val="24"/>
          <w:szCs w:val="24"/>
        </w:rPr>
        <w:t xml:space="preserve">. </w:t>
      </w:r>
      <w:r w:rsidR="00145E96">
        <w:rPr>
          <w:rFonts w:ascii="Times New Roman" w:hAnsi="Times New Roman"/>
          <w:sz w:val="24"/>
          <w:szCs w:val="24"/>
        </w:rPr>
        <w:t xml:space="preserve">По </w:t>
      </w:r>
      <w:r w:rsidR="004136C1">
        <w:rPr>
          <w:rFonts w:ascii="Times New Roman" w:hAnsi="Times New Roman"/>
          <w:sz w:val="24"/>
          <w:szCs w:val="24"/>
        </w:rPr>
        <w:t>электронной почте поступило 16</w:t>
      </w:r>
      <w:r w:rsidR="00145E96">
        <w:rPr>
          <w:rFonts w:ascii="Times New Roman" w:hAnsi="Times New Roman"/>
          <w:sz w:val="24"/>
          <w:szCs w:val="24"/>
        </w:rPr>
        <w:t xml:space="preserve"> в</w:t>
      </w:r>
      <w:r w:rsidR="004136C1">
        <w:rPr>
          <w:rFonts w:ascii="Times New Roman" w:hAnsi="Times New Roman"/>
          <w:sz w:val="24"/>
          <w:szCs w:val="24"/>
        </w:rPr>
        <w:t>опросов граждан, что составило 3</w:t>
      </w:r>
      <w:r w:rsidR="00145E96">
        <w:rPr>
          <w:rFonts w:ascii="Times New Roman" w:hAnsi="Times New Roman"/>
          <w:sz w:val="24"/>
          <w:szCs w:val="24"/>
        </w:rPr>
        <w:t xml:space="preserve">%. </w:t>
      </w:r>
      <w:r w:rsidR="00807672">
        <w:rPr>
          <w:rFonts w:ascii="Times New Roman" w:hAnsi="Times New Roman"/>
          <w:sz w:val="24"/>
          <w:szCs w:val="24"/>
        </w:rPr>
        <w:t>Получили консультацию, поз</w:t>
      </w:r>
      <w:r w:rsidR="004136C1">
        <w:rPr>
          <w:rFonts w:ascii="Times New Roman" w:hAnsi="Times New Roman"/>
          <w:sz w:val="24"/>
          <w:szCs w:val="24"/>
        </w:rPr>
        <w:t>вонив непосредственно в центр, 13</w:t>
      </w:r>
      <w:r w:rsidR="00807672">
        <w:rPr>
          <w:rFonts w:ascii="Times New Roman" w:hAnsi="Times New Roman"/>
          <w:sz w:val="24"/>
          <w:szCs w:val="24"/>
        </w:rPr>
        <w:t xml:space="preserve"> граждан, </w:t>
      </w:r>
      <w:r w:rsidR="004136C1">
        <w:rPr>
          <w:rFonts w:ascii="Times New Roman" w:hAnsi="Times New Roman"/>
          <w:sz w:val="24"/>
          <w:szCs w:val="24"/>
        </w:rPr>
        <w:t>двое</w:t>
      </w:r>
      <w:r w:rsidR="00807672">
        <w:rPr>
          <w:rFonts w:ascii="Times New Roman" w:hAnsi="Times New Roman"/>
          <w:sz w:val="24"/>
          <w:szCs w:val="24"/>
        </w:rPr>
        <w:t xml:space="preserve"> граждан были проконс</w:t>
      </w:r>
      <w:r w:rsidR="004136C1">
        <w:rPr>
          <w:rFonts w:ascii="Times New Roman" w:hAnsi="Times New Roman"/>
          <w:sz w:val="24"/>
          <w:szCs w:val="24"/>
        </w:rPr>
        <w:t>ультированы на личном приеме,</w:t>
      </w:r>
      <w:r w:rsidR="00807672">
        <w:rPr>
          <w:rFonts w:ascii="Times New Roman" w:hAnsi="Times New Roman"/>
          <w:sz w:val="24"/>
          <w:szCs w:val="24"/>
        </w:rPr>
        <w:t xml:space="preserve"> </w:t>
      </w:r>
      <w:r w:rsidR="004136C1">
        <w:rPr>
          <w:rFonts w:ascii="Times New Roman" w:hAnsi="Times New Roman"/>
          <w:sz w:val="24"/>
          <w:szCs w:val="24"/>
        </w:rPr>
        <w:t>6</w:t>
      </w:r>
      <w:r w:rsidR="00807672">
        <w:rPr>
          <w:rFonts w:ascii="Times New Roman" w:hAnsi="Times New Roman"/>
          <w:sz w:val="24"/>
          <w:szCs w:val="24"/>
        </w:rPr>
        <w:t xml:space="preserve"> граждан получили </w:t>
      </w:r>
      <w:proofErr w:type="spellStart"/>
      <w:r w:rsidR="00807672">
        <w:rPr>
          <w:rFonts w:ascii="Times New Roman" w:hAnsi="Times New Roman"/>
          <w:sz w:val="24"/>
          <w:szCs w:val="24"/>
        </w:rPr>
        <w:t>on-line</w:t>
      </w:r>
      <w:proofErr w:type="spellEnd"/>
      <w:r w:rsidR="00807672">
        <w:rPr>
          <w:rFonts w:ascii="Times New Roman" w:hAnsi="Times New Roman"/>
          <w:sz w:val="24"/>
          <w:szCs w:val="24"/>
        </w:rPr>
        <w:t xml:space="preserve"> </w:t>
      </w:r>
      <w:r w:rsidR="004136C1">
        <w:rPr>
          <w:rFonts w:ascii="Times New Roman" w:hAnsi="Times New Roman"/>
          <w:sz w:val="24"/>
          <w:szCs w:val="24"/>
        </w:rPr>
        <w:t>консультации в социальных сетях, и 8 обратившихся направили вопросы с помощью сайта «Твой портал для жизни».</w:t>
      </w:r>
    </w:p>
    <w:p w:rsidR="0073359B" w:rsidRDefault="00807672" w:rsidP="000D00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599E">
        <w:rPr>
          <w:rFonts w:ascii="Times New Roman" w:hAnsi="Times New Roman"/>
          <w:sz w:val="24"/>
          <w:szCs w:val="24"/>
        </w:rPr>
        <w:t xml:space="preserve"> </w:t>
      </w:r>
      <w:r w:rsidR="0057512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770F" w:rsidRDefault="0037770F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447D8">
        <w:rPr>
          <w:rFonts w:ascii="Times New Roman" w:hAnsi="Times New Roman"/>
          <w:sz w:val="24"/>
          <w:szCs w:val="24"/>
        </w:rPr>
        <w:t>Большинство обращений поступило от граждан, проживающих на территории таких муниципальных образов</w:t>
      </w:r>
      <w:r w:rsidR="009B5CAA">
        <w:rPr>
          <w:rFonts w:ascii="Times New Roman" w:hAnsi="Times New Roman"/>
          <w:sz w:val="24"/>
          <w:szCs w:val="24"/>
        </w:rPr>
        <w:t xml:space="preserve">аний как: </w:t>
      </w:r>
      <w:proofErr w:type="gramStart"/>
      <w:r w:rsidR="009B5CAA">
        <w:rPr>
          <w:rFonts w:ascii="Times New Roman" w:hAnsi="Times New Roman"/>
          <w:sz w:val="24"/>
          <w:szCs w:val="24"/>
        </w:rPr>
        <w:t>г</w:t>
      </w:r>
      <w:proofErr w:type="gramEnd"/>
      <w:r w:rsidR="009B5CAA">
        <w:rPr>
          <w:rFonts w:ascii="Times New Roman" w:hAnsi="Times New Roman"/>
          <w:sz w:val="24"/>
          <w:szCs w:val="24"/>
        </w:rPr>
        <w:t xml:space="preserve">. Сургут, г. Ханты-Мансийск, </w:t>
      </w:r>
      <w:proofErr w:type="spellStart"/>
      <w:r w:rsidR="009B5CAA">
        <w:rPr>
          <w:rFonts w:ascii="Times New Roman" w:hAnsi="Times New Roman"/>
          <w:sz w:val="24"/>
          <w:szCs w:val="24"/>
        </w:rPr>
        <w:t>Сургутский</w:t>
      </w:r>
      <w:proofErr w:type="spellEnd"/>
      <w:r w:rsidR="009B5CAA">
        <w:rPr>
          <w:rFonts w:ascii="Times New Roman" w:hAnsi="Times New Roman"/>
          <w:sz w:val="24"/>
          <w:szCs w:val="24"/>
        </w:rPr>
        <w:t xml:space="preserve"> район, г. </w:t>
      </w:r>
      <w:proofErr w:type="spellStart"/>
      <w:r w:rsidR="009B5CAA">
        <w:rPr>
          <w:rFonts w:ascii="Times New Roman" w:hAnsi="Times New Roman"/>
          <w:sz w:val="24"/>
          <w:szCs w:val="24"/>
        </w:rPr>
        <w:t>Нягань</w:t>
      </w:r>
      <w:proofErr w:type="spellEnd"/>
      <w:r w:rsidR="009B5CAA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="009B5CAA">
        <w:rPr>
          <w:rFonts w:ascii="Times New Roman" w:hAnsi="Times New Roman"/>
          <w:sz w:val="24"/>
          <w:szCs w:val="24"/>
        </w:rPr>
        <w:t>Урай</w:t>
      </w:r>
      <w:proofErr w:type="spellEnd"/>
      <w:r w:rsidR="009447D8">
        <w:rPr>
          <w:rFonts w:ascii="Times New Roman" w:hAnsi="Times New Roman"/>
          <w:sz w:val="24"/>
          <w:szCs w:val="24"/>
        </w:rPr>
        <w:t xml:space="preserve">. </w:t>
      </w:r>
    </w:p>
    <w:p w:rsidR="0037526F" w:rsidRPr="00E945CB" w:rsidRDefault="00E945CB" w:rsidP="000D002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45CB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394F" w:rsidRPr="00FD7ABC" w:rsidRDefault="00786915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большей степени вопросы, заданные гражданами, касались ремонта и содержания общего имущества многоквартирного дома</w:t>
      </w:r>
      <w:r w:rsidR="004A63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6306">
        <w:rPr>
          <w:rFonts w:ascii="Times New Roman" w:hAnsi="Times New Roman"/>
          <w:sz w:val="24"/>
          <w:szCs w:val="24"/>
        </w:rPr>
        <w:t>отпления</w:t>
      </w:r>
      <w:proofErr w:type="spellEnd"/>
      <w:r>
        <w:rPr>
          <w:rFonts w:ascii="Times New Roman" w:hAnsi="Times New Roman"/>
          <w:sz w:val="24"/>
          <w:szCs w:val="24"/>
        </w:rPr>
        <w:t>, горячего и холодного водоснабжения.</w:t>
      </w:r>
      <w:r w:rsidR="00C2590B">
        <w:rPr>
          <w:rFonts w:ascii="Times New Roman" w:hAnsi="Times New Roman"/>
          <w:sz w:val="24"/>
          <w:szCs w:val="24"/>
        </w:rPr>
        <w:t xml:space="preserve"> Если по вопросам </w:t>
      </w:r>
      <w:r w:rsidR="004A6306">
        <w:rPr>
          <w:rFonts w:ascii="Times New Roman" w:hAnsi="Times New Roman"/>
          <w:sz w:val="24"/>
          <w:szCs w:val="24"/>
        </w:rPr>
        <w:t xml:space="preserve">отопления, </w:t>
      </w:r>
      <w:r w:rsidR="00C2590B">
        <w:rPr>
          <w:rFonts w:ascii="Times New Roman" w:hAnsi="Times New Roman"/>
          <w:sz w:val="24"/>
          <w:szCs w:val="24"/>
        </w:rPr>
        <w:t>ремонта и содержания общего имущества граждан в большей степени интересовал вопрос качества предоставления услуг, то по части горячего и холодного водоснабжения граждане чаще задавали вопросы о порядке расчета платы за предоставленные коммунальные услуги</w:t>
      </w:r>
      <w:r w:rsidR="004A6306">
        <w:rPr>
          <w:rFonts w:ascii="Times New Roman" w:hAnsi="Times New Roman"/>
          <w:sz w:val="24"/>
          <w:szCs w:val="24"/>
        </w:rPr>
        <w:t xml:space="preserve">, что вызвано </w:t>
      </w:r>
      <w:proofErr w:type="gramStart"/>
      <w:r w:rsidR="004A6306">
        <w:rPr>
          <w:rFonts w:ascii="Times New Roman" w:hAnsi="Times New Roman"/>
          <w:sz w:val="24"/>
          <w:szCs w:val="24"/>
        </w:rPr>
        <w:t>оплатой</w:t>
      </w:r>
      <w:proofErr w:type="gramEnd"/>
      <w:r w:rsidR="004A6306">
        <w:rPr>
          <w:rFonts w:ascii="Times New Roman" w:hAnsi="Times New Roman"/>
          <w:sz w:val="24"/>
          <w:szCs w:val="24"/>
        </w:rPr>
        <w:t xml:space="preserve"> как личного потребления, так и оплатой </w:t>
      </w:r>
      <w:proofErr w:type="spellStart"/>
      <w:r w:rsidR="004A6306">
        <w:rPr>
          <w:rFonts w:ascii="Times New Roman" w:hAnsi="Times New Roman"/>
          <w:sz w:val="24"/>
          <w:szCs w:val="24"/>
        </w:rPr>
        <w:t>общедомовых</w:t>
      </w:r>
      <w:proofErr w:type="spellEnd"/>
      <w:r w:rsidR="004A6306">
        <w:rPr>
          <w:rFonts w:ascii="Times New Roman" w:hAnsi="Times New Roman"/>
          <w:sz w:val="24"/>
          <w:szCs w:val="24"/>
        </w:rPr>
        <w:t xml:space="preserve"> нужд</w:t>
      </w:r>
      <w:r w:rsidR="00C2590B">
        <w:rPr>
          <w:rFonts w:ascii="Times New Roman" w:hAnsi="Times New Roman"/>
          <w:sz w:val="24"/>
          <w:szCs w:val="24"/>
        </w:rPr>
        <w:t xml:space="preserve">.  </w:t>
      </w:r>
    </w:p>
    <w:p w:rsidR="00E945CB" w:rsidRPr="00E945CB" w:rsidRDefault="00E945CB" w:rsidP="00E945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5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8627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71B7" w:rsidRPr="00C871B7" w:rsidRDefault="00C2590B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Преобладание вопросов о порядке расчета платы вызвано тем, что гражданам в большинстве случаев непонятен порядок расчета платы за коммунальные ресурсы</w:t>
      </w:r>
      <w:r w:rsidR="000F54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нужды.</w:t>
      </w:r>
      <w:r w:rsidR="008F0CDF">
        <w:rPr>
          <w:rFonts w:ascii="Times New Roman" w:hAnsi="Times New Roman" w:cs="Times New Roman"/>
          <w:sz w:val="24"/>
          <w:szCs w:val="24"/>
        </w:rPr>
        <w:t xml:space="preserve"> Граждане задают вопросы о законности </w:t>
      </w:r>
      <w:proofErr w:type="spellStart"/>
      <w:r w:rsidR="008F0CDF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="008F0CDF">
        <w:rPr>
          <w:rFonts w:ascii="Times New Roman" w:hAnsi="Times New Roman" w:cs="Times New Roman"/>
          <w:sz w:val="24"/>
          <w:szCs w:val="24"/>
        </w:rPr>
        <w:t xml:space="preserve"> начислений, правильности их начислений и о том какие существуют возможности </w:t>
      </w:r>
      <w:proofErr w:type="gramStart"/>
      <w:r w:rsidR="008F0C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F0CDF">
        <w:rPr>
          <w:rFonts w:ascii="Times New Roman" w:hAnsi="Times New Roman" w:cs="Times New Roman"/>
          <w:sz w:val="24"/>
          <w:szCs w:val="24"/>
        </w:rPr>
        <w:t xml:space="preserve"> законностью, корректностью начислений </w:t>
      </w:r>
      <w:proofErr w:type="spellStart"/>
      <w:r w:rsidR="008F0CDF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="008F0CDF">
        <w:rPr>
          <w:rFonts w:ascii="Times New Roman" w:hAnsi="Times New Roman" w:cs="Times New Roman"/>
          <w:sz w:val="24"/>
          <w:szCs w:val="24"/>
        </w:rPr>
        <w:t xml:space="preserve"> нужд.</w:t>
      </w:r>
    </w:p>
    <w:p w:rsidR="00C871B7" w:rsidRDefault="00C871B7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71B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44196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77AB" w:rsidRDefault="00691DA8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Консульт</w:t>
      </w:r>
      <w:r w:rsidR="00133966">
        <w:rPr>
          <w:rFonts w:ascii="Times New Roman" w:hAnsi="Times New Roman" w:cs="Times New Roman"/>
          <w:sz w:val="24"/>
          <w:szCs w:val="24"/>
        </w:rPr>
        <w:t>ационно-правового центра со СМИ</w:t>
      </w:r>
      <w:r w:rsidR="00D177AB">
        <w:rPr>
          <w:rFonts w:ascii="Times New Roman" w:hAnsi="Times New Roman" w:cs="Times New Roman"/>
          <w:sz w:val="24"/>
          <w:szCs w:val="24"/>
        </w:rPr>
        <w:t>.</w:t>
      </w:r>
    </w:p>
    <w:p w:rsidR="00691DA8" w:rsidRDefault="00202F3E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квартале 2014</w:t>
      </w:r>
      <w:r w:rsidR="00691DA8">
        <w:rPr>
          <w:rFonts w:ascii="Times New Roman" w:hAnsi="Times New Roman" w:cs="Times New Roman"/>
          <w:sz w:val="24"/>
          <w:szCs w:val="24"/>
        </w:rPr>
        <w:t xml:space="preserve"> года сотрудниками Консультационно-правового центра проводилась активная работа со средствами массовой информации автономного округа.</w:t>
      </w:r>
    </w:p>
    <w:p w:rsidR="00691DA8" w:rsidRDefault="00691DA8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Подготовлены и размещены </w:t>
      </w:r>
      <w:r w:rsidR="00202F3E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="00202F3E">
        <w:rPr>
          <w:rFonts w:ascii="Times New Roman" w:hAnsi="Times New Roman" w:cs="Times New Roman"/>
          <w:sz w:val="24"/>
          <w:szCs w:val="24"/>
        </w:rPr>
        <w:t>печатных</w:t>
      </w:r>
      <w:proofErr w:type="gramEnd"/>
      <w:r w:rsidR="00202F3E">
        <w:rPr>
          <w:rFonts w:ascii="Times New Roman" w:hAnsi="Times New Roman" w:cs="Times New Roman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sz w:val="24"/>
          <w:szCs w:val="24"/>
        </w:rPr>
        <w:t xml:space="preserve"> в рубрике «Коммунальный помощник» в газете «Новости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792DC4">
        <w:rPr>
          <w:rFonts w:ascii="Times New Roman" w:hAnsi="Times New Roman" w:cs="Times New Roman"/>
          <w:sz w:val="24"/>
          <w:szCs w:val="24"/>
        </w:rPr>
        <w:t xml:space="preserve">Подготовлены и даны комментарии для новостного блока «ТРК </w:t>
      </w:r>
      <w:proofErr w:type="spellStart"/>
      <w:r w:rsidR="00792DC4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="00792DC4">
        <w:rPr>
          <w:rFonts w:ascii="Times New Roman" w:hAnsi="Times New Roman" w:cs="Times New Roman"/>
          <w:sz w:val="24"/>
          <w:szCs w:val="24"/>
        </w:rPr>
        <w:t>»</w:t>
      </w:r>
      <w:r w:rsidR="00B74429">
        <w:rPr>
          <w:rFonts w:ascii="Times New Roman" w:hAnsi="Times New Roman" w:cs="Times New Roman"/>
          <w:sz w:val="24"/>
          <w:szCs w:val="24"/>
        </w:rPr>
        <w:t xml:space="preserve"> </w:t>
      </w:r>
      <w:r w:rsidR="00202F3E">
        <w:rPr>
          <w:rFonts w:ascii="Times New Roman" w:hAnsi="Times New Roman" w:cs="Times New Roman"/>
          <w:sz w:val="24"/>
          <w:szCs w:val="24"/>
        </w:rPr>
        <w:t xml:space="preserve"> и 3 программ «Дом, в котором мы живем» по вопросам оплаты за предоставленные коммунальные услуги, о качестве предоставления горячего водоснабжения и уборки от снега кровель многоквартирных домов и придомовых территорий</w:t>
      </w:r>
      <w:r w:rsidR="00B744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77AB" w:rsidRPr="00867217" w:rsidRDefault="00D177AB" w:rsidP="00990D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77AB" w:rsidRPr="00867217" w:rsidSect="00DD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3321"/>
    <w:multiLevelType w:val="hybridMultilevel"/>
    <w:tmpl w:val="7872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67AC5"/>
    <w:multiLevelType w:val="hybridMultilevel"/>
    <w:tmpl w:val="3A58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022"/>
    <w:rsid w:val="0003114B"/>
    <w:rsid w:val="0005768D"/>
    <w:rsid w:val="00077192"/>
    <w:rsid w:val="00084407"/>
    <w:rsid w:val="000D0022"/>
    <w:rsid w:val="000D20D7"/>
    <w:rsid w:val="000E52FF"/>
    <w:rsid w:val="000F5419"/>
    <w:rsid w:val="001129E7"/>
    <w:rsid w:val="00133966"/>
    <w:rsid w:val="001453FB"/>
    <w:rsid w:val="00145E96"/>
    <w:rsid w:val="0017103A"/>
    <w:rsid w:val="00192564"/>
    <w:rsid w:val="001974CB"/>
    <w:rsid w:val="001A49B3"/>
    <w:rsid w:val="001A7B16"/>
    <w:rsid w:val="001B0717"/>
    <w:rsid w:val="001B15CE"/>
    <w:rsid w:val="001E2874"/>
    <w:rsid w:val="00202F3E"/>
    <w:rsid w:val="00227415"/>
    <w:rsid w:val="00250A85"/>
    <w:rsid w:val="002512BE"/>
    <w:rsid w:val="00272FDA"/>
    <w:rsid w:val="00285E8A"/>
    <w:rsid w:val="00287A01"/>
    <w:rsid w:val="00290660"/>
    <w:rsid w:val="002924B0"/>
    <w:rsid w:val="002A12A6"/>
    <w:rsid w:val="00322BA1"/>
    <w:rsid w:val="00335A97"/>
    <w:rsid w:val="00336416"/>
    <w:rsid w:val="00347B97"/>
    <w:rsid w:val="003617CC"/>
    <w:rsid w:val="00370502"/>
    <w:rsid w:val="0037526F"/>
    <w:rsid w:val="0037770F"/>
    <w:rsid w:val="003B5AD1"/>
    <w:rsid w:val="003E1B05"/>
    <w:rsid w:val="003E5E94"/>
    <w:rsid w:val="0040095F"/>
    <w:rsid w:val="004055B4"/>
    <w:rsid w:val="004136C1"/>
    <w:rsid w:val="00423F11"/>
    <w:rsid w:val="004332B6"/>
    <w:rsid w:val="00453A2E"/>
    <w:rsid w:val="0046314C"/>
    <w:rsid w:val="00490906"/>
    <w:rsid w:val="004921F1"/>
    <w:rsid w:val="004A28C0"/>
    <w:rsid w:val="004A6306"/>
    <w:rsid w:val="004B59AA"/>
    <w:rsid w:val="004E5DD7"/>
    <w:rsid w:val="004E7DDC"/>
    <w:rsid w:val="0050404E"/>
    <w:rsid w:val="005042DE"/>
    <w:rsid w:val="00513DCA"/>
    <w:rsid w:val="005469AA"/>
    <w:rsid w:val="00575125"/>
    <w:rsid w:val="005A0436"/>
    <w:rsid w:val="005A355F"/>
    <w:rsid w:val="005A3E75"/>
    <w:rsid w:val="005C27C4"/>
    <w:rsid w:val="005D0798"/>
    <w:rsid w:val="005D22D2"/>
    <w:rsid w:val="005F2490"/>
    <w:rsid w:val="005F3827"/>
    <w:rsid w:val="0060388E"/>
    <w:rsid w:val="00603A99"/>
    <w:rsid w:val="006168DD"/>
    <w:rsid w:val="00691DA8"/>
    <w:rsid w:val="006A3630"/>
    <w:rsid w:val="006B30B3"/>
    <w:rsid w:val="006C05F9"/>
    <w:rsid w:val="006C187C"/>
    <w:rsid w:val="007265F6"/>
    <w:rsid w:val="0073359B"/>
    <w:rsid w:val="00763900"/>
    <w:rsid w:val="007777FB"/>
    <w:rsid w:val="00786915"/>
    <w:rsid w:val="00792DC4"/>
    <w:rsid w:val="007B2D3C"/>
    <w:rsid w:val="007C1059"/>
    <w:rsid w:val="007E394F"/>
    <w:rsid w:val="007F1991"/>
    <w:rsid w:val="00807672"/>
    <w:rsid w:val="008146DE"/>
    <w:rsid w:val="00816541"/>
    <w:rsid w:val="008241FA"/>
    <w:rsid w:val="008343D7"/>
    <w:rsid w:val="00843C56"/>
    <w:rsid w:val="00855462"/>
    <w:rsid w:val="00867217"/>
    <w:rsid w:val="0087334C"/>
    <w:rsid w:val="00875B7E"/>
    <w:rsid w:val="008D57D6"/>
    <w:rsid w:val="008D625A"/>
    <w:rsid w:val="008F0CDF"/>
    <w:rsid w:val="0090599E"/>
    <w:rsid w:val="009211CD"/>
    <w:rsid w:val="00935DBC"/>
    <w:rsid w:val="009447D8"/>
    <w:rsid w:val="00990D15"/>
    <w:rsid w:val="00996D7E"/>
    <w:rsid w:val="009B1276"/>
    <w:rsid w:val="009B5CAA"/>
    <w:rsid w:val="00A13605"/>
    <w:rsid w:val="00A24B52"/>
    <w:rsid w:val="00A33C96"/>
    <w:rsid w:val="00A45671"/>
    <w:rsid w:val="00A53324"/>
    <w:rsid w:val="00A557FC"/>
    <w:rsid w:val="00A70EAE"/>
    <w:rsid w:val="00A86410"/>
    <w:rsid w:val="00A95F47"/>
    <w:rsid w:val="00A97BFA"/>
    <w:rsid w:val="00AB182E"/>
    <w:rsid w:val="00AB59C8"/>
    <w:rsid w:val="00AD30B4"/>
    <w:rsid w:val="00AE0D03"/>
    <w:rsid w:val="00AF5255"/>
    <w:rsid w:val="00B16558"/>
    <w:rsid w:val="00B521A3"/>
    <w:rsid w:val="00B55ED4"/>
    <w:rsid w:val="00B60420"/>
    <w:rsid w:val="00B6575E"/>
    <w:rsid w:val="00B677EC"/>
    <w:rsid w:val="00B7178E"/>
    <w:rsid w:val="00B71B7F"/>
    <w:rsid w:val="00B74429"/>
    <w:rsid w:val="00BA0F77"/>
    <w:rsid w:val="00BB4B92"/>
    <w:rsid w:val="00BC543B"/>
    <w:rsid w:val="00BD2A1F"/>
    <w:rsid w:val="00BD375C"/>
    <w:rsid w:val="00BD3F42"/>
    <w:rsid w:val="00BF0A20"/>
    <w:rsid w:val="00BF50D5"/>
    <w:rsid w:val="00C1270B"/>
    <w:rsid w:val="00C2499F"/>
    <w:rsid w:val="00C2590B"/>
    <w:rsid w:val="00C44E06"/>
    <w:rsid w:val="00C73E86"/>
    <w:rsid w:val="00C740A0"/>
    <w:rsid w:val="00C871B7"/>
    <w:rsid w:val="00CF3962"/>
    <w:rsid w:val="00D0639B"/>
    <w:rsid w:val="00D11663"/>
    <w:rsid w:val="00D177AB"/>
    <w:rsid w:val="00D37E2D"/>
    <w:rsid w:val="00D41B0D"/>
    <w:rsid w:val="00D51917"/>
    <w:rsid w:val="00D906E7"/>
    <w:rsid w:val="00D972FC"/>
    <w:rsid w:val="00DA195D"/>
    <w:rsid w:val="00DB64FC"/>
    <w:rsid w:val="00DD733A"/>
    <w:rsid w:val="00DF2C83"/>
    <w:rsid w:val="00DF698A"/>
    <w:rsid w:val="00DF6D10"/>
    <w:rsid w:val="00E109F0"/>
    <w:rsid w:val="00E35947"/>
    <w:rsid w:val="00E55A71"/>
    <w:rsid w:val="00E757F7"/>
    <w:rsid w:val="00E77CF7"/>
    <w:rsid w:val="00E9078D"/>
    <w:rsid w:val="00E945CB"/>
    <w:rsid w:val="00EA47F6"/>
    <w:rsid w:val="00EA6EC5"/>
    <w:rsid w:val="00ED26A9"/>
    <w:rsid w:val="00EE11DB"/>
    <w:rsid w:val="00EE7E32"/>
    <w:rsid w:val="00EF1FC9"/>
    <w:rsid w:val="00F00FBC"/>
    <w:rsid w:val="00F06D9F"/>
    <w:rsid w:val="00F21E6C"/>
    <w:rsid w:val="00F81E09"/>
    <w:rsid w:val="00F832F5"/>
    <w:rsid w:val="00FB1684"/>
    <w:rsid w:val="00FD371E"/>
    <w:rsid w:val="00FD7ABC"/>
    <w:rsid w:val="00FD7EAF"/>
    <w:rsid w:val="00FF1DF6"/>
    <w:rsid w:val="00F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pros-jkh@adminugra.ru" TargetMode="Externa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вопросов граждан в 1 кв. 2012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159</c:v>
                </c:pt>
                <c:pt idx="2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вопросов граждан в 1 кв. 2013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150</c:v>
                </c:pt>
                <c:pt idx="1">
                  <c:v>180</c:v>
                </c:pt>
                <c:pt idx="2">
                  <c:v>181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вопросов граждан в 1 кв. 2014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177</c:v>
                </c:pt>
                <c:pt idx="1">
                  <c:v>170</c:v>
                </c:pt>
                <c:pt idx="2">
                  <c:v>122</c:v>
                </c:pt>
              </c:numCache>
            </c:numRef>
          </c:val>
        </c:ser>
        <c:dLbls>
          <c:showVal val="1"/>
        </c:dLbls>
        <c:gapWidth val="75"/>
        <c:axId val="82400000"/>
        <c:axId val="82424192"/>
      </c:barChart>
      <c:catAx>
        <c:axId val="82400000"/>
        <c:scaling>
          <c:orientation val="minMax"/>
        </c:scaling>
        <c:axPos val="b"/>
        <c:majorTickMark val="none"/>
        <c:tickLblPos val="nextTo"/>
        <c:crossAx val="82424192"/>
        <c:crosses val="autoZero"/>
        <c:auto val="1"/>
        <c:lblAlgn val="ctr"/>
        <c:lblOffset val="100"/>
      </c:catAx>
      <c:valAx>
        <c:axId val="82424192"/>
        <c:scaling>
          <c:orientation val="minMax"/>
        </c:scaling>
        <c:axPos val="l"/>
        <c:numFmt formatCode="General" sourceLinked="1"/>
        <c:majorTickMark val="none"/>
        <c:tickLblPos val="nextTo"/>
        <c:crossAx val="82400000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"Горячая линия"</c:v>
                </c:pt>
                <c:pt idx="1">
                  <c:v>Эл. Почта</c:v>
                </c:pt>
                <c:pt idx="2">
                  <c:v>Тел. Звонок</c:v>
                </c:pt>
                <c:pt idx="3">
                  <c:v>ТПдЖ</c:v>
                </c:pt>
                <c:pt idx="4">
                  <c:v>Соц. Сети</c:v>
                </c:pt>
                <c:pt idx="5">
                  <c:v>Личный прием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424</c:v>
                </c:pt>
                <c:pt idx="1">
                  <c:v>16</c:v>
                </c:pt>
                <c:pt idx="2">
                  <c:v>13</c:v>
                </c:pt>
                <c:pt idx="3">
                  <c:v>8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</c:ser>
        <c:dLbls>
          <c:showVal val="1"/>
        </c:dLbls>
        <c:gapWidth val="75"/>
        <c:axId val="86013056"/>
        <c:axId val="86014592"/>
      </c:barChart>
      <c:catAx>
        <c:axId val="86013056"/>
        <c:scaling>
          <c:orientation val="minMax"/>
        </c:scaling>
        <c:axPos val="b"/>
        <c:majorTickMark val="none"/>
        <c:tickLblPos val="nextTo"/>
        <c:crossAx val="86014592"/>
        <c:crosses val="autoZero"/>
        <c:auto val="1"/>
        <c:lblAlgn val="ctr"/>
        <c:lblOffset val="100"/>
      </c:catAx>
      <c:valAx>
        <c:axId val="86014592"/>
        <c:scaling>
          <c:orientation val="minMax"/>
        </c:scaling>
        <c:axPos val="l"/>
        <c:numFmt formatCode="General" sourceLinked="1"/>
        <c:majorTickMark val="none"/>
        <c:tickLblPos val="nextTo"/>
        <c:crossAx val="8601305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Сургутский район</c:v>
                </c:pt>
                <c:pt idx="3">
                  <c:v>Нягань</c:v>
                </c:pt>
                <c:pt idx="4">
                  <c:v>Урай</c:v>
                </c:pt>
                <c:pt idx="5">
                  <c:v>Советский район</c:v>
                </c:pt>
                <c:pt idx="6">
                  <c:v>Октябрьский район</c:v>
                </c:pt>
                <c:pt idx="7">
                  <c:v>Когалым</c:v>
                </c:pt>
                <c:pt idx="8">
                  <c:v>Нижневартовск</c:v>
                </c:pt>
                <c:pt idx="9">
                  <c:v>Лангепас</c:v>
                </c:pt>
                <c:pt idx="10">
                  <c:v>Мегион</c:v>
                </c:pt>
                <c:pt idx="11">
                  <c:v>Нефтеюганский район</c:v>
                </c:pt>
                <c:pt idx="12">
                  <c:v>Нефтеюганск</c:v>
                </c:pt>
                <c:pt idx="13">
                  <c:v>Кондинский район</c:v>
                </c:pt>
                <c:pt idx="14">
                  <c:v>Югорск</c:v>
                </c:pt>
                <c:pt idx="15">
                  <c:v>Пыть-Ях</c:v>
                </c:pt>
                <c:pt idx="16">
                  <c:v>Ханты-Мансийский район</c:v>
                </c:pt>
                <c:pt idx="17">
                  <c:v>Белоярский район</c:v>
                </c:pt>
                <c:pt idx="18">
                  <c:v>Березовский район</c:v>
                </c:pt>
                <c:pt idx="19">
                  <c:v>Покачи</c:v>
                </c:pt>
                <c:pt idx="20">
                  <c:v>Нижневартовский район</c:v>
                </c:pt>
                <c:pt idx="21">
                  <c:v>Радужный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86</c:v>
                </c:pt>
                <c:pt idx="1">
                  <c:v>77</c:v>
                </c:pt>
                <c:pt idx="2">
                  <c:v>44</c:v>
                </c:pt>
                <c:pt idx="3">
                  <c:v>43</c:v>
                </c:pt>
                <c:pt idx="4">
                  <c:v>34</c:v>
                </c:pt>
                <c:pt idx="5">
                  <c:v>27</c:v>
                </c:pt>
                <c:pt idx="6">
                  <c:v>23</c:v>
                </c:pt>
                <c:pt idx="7">
                  <c:v>21</c:v>
                </c:pt>
                <c:pt idx="8">
                  <c:v>16</c:v>
                </c:pt>
                <c:pt idx="9">
                  <c:v>15</c:v>
                </c:pt>
                <c:pt idx="10">
                  <c:v>15</c:v>
                </c:pt>
                <c:pt idx="11">
                  <c:v>13</c:v>
                </c:pt>
                <c:pt idx="12">
                  <c:v>11</c:v>
                </c:pt>
                <c:pt idx="13">
                  <c:v>9</c:v>
                </c:pt>
                <c:pt idx="14">
                  <c:v>8</c:v>
                </c:pt>
                <c:pt idx="15">
                  <c:v>7</c:v>
                </c:pt>
                <c:pt idx="16">
                  <c:v>6</c:v>
                </c:pt>
                <c:pt idx="17">
                  <c:v>5</c:v>
                </c:pt>
                <c:pt idx="18">
                  <c:v>4</c:v>
                </c:pt>
                <c:pt idx="19">
                  <c:v>3</c:v>
                </c:pt>
                <c:pt idx="20">
                  <c:v>1</c:v>
                </c:pt>
                <c:pt idx="21">
                  <c:v>1</c:v>
                </c:pt>
              </c:numCache>
            </c:numRef>
          </c:val>
        </c:ser>
        <c:dLbls>
          <c:showVal val="1"/>
        </c:dLbls>
        <c:gapWidth val="75"/>
        <c:axId val="86033920"/>
        <c:axId val="86039552"/>
      </c:barChart>
      <c:catAx>
        <c:axId val="86033920"/>
        <c:scaling>
          <c:orientation val="minMax"/>
        </c:scaling>
        <c:axPos val="b"/>
        <c:numFmt formatCode="General" sourceLinked="1"/>
        <c:majorTickMark val="none"/>
        <c:tickLblPos val="nextTo"/>
        <c:crossAx val="86039552"/>
        <c:crosses val="autoZero"/>
        <c:auto val="1"/>
        <c:lblAlgn val="ctr"/>
        <c:lblOffset val="100"/>
      </c:catAx>
      <c:valAx>
        <c:axId val="86039552"/>
        <c:scaling>
          <c:orientation val="minMax"/>
        </c:scaling>
        <c:axPos val="l"/>
        <c:numFmt formatCode="General" sourceLinked="1"/>
        <c:majorTickMark val="none"/>
        <c:tickLblPos val="nextTo"/>
        <c:crossAx val="86033920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0299936452358206"/>
                  <c:y val="1.8436230503034255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8.7877719186758491E-2"/>
                  <c:y val="-6.7817064268240565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0832524608929499"/>
                  <c:y val="-1.5131484360633267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5.7327548113140104E-3"/>
                  <c:y val="0.11597193662894048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4.6487246282883796E-2"/>
                  <c:y val="0.16260394202317066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1654486000580765"/>
                  <c:y val="9.3665011618770597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0.13643586107054631"/>
                  <c:y val="1.911162378588032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Управление многоквартирным домом
3%</a:t>
                    </a:r>
                  </a:p>
                </c:rich>
              </c:tx>
              <c:showCatName val="1"/>
              <c:showPercent val="1"/>
            </c:dLbl>
            <c:dLbl>
              <c:idx val="7"/>
              <c:layout>
                <c:manualLayout>
                  <c:x val="3.5559745304418452E-2"/>
                  <c:y val="-4.2718513688973607E-2"/>
                </c:manualLayout>
              </c:layout>
              <c:showCatName val="1"/>
              <c:showPercent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4.0082320683087293E-2"/>
                  <c:y val="4.0637876236077373E-4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Лист1!$A$2:$A$12</c:f>
              <c:strCache>
                <c:ptCount val="11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Горячее водоснабжение</c:v>
                </c:pt>
                <c:pt idx="3">
                  <c:v>Холодное водоснабжение</c:v>
                </c:pt>
                <c:pt idx="4">
                  <c:v>Электроснабжение</c:v>
                </c:pt>
                <c:pt idx="5">
                  <c:v>Установка приборов учета</c:v>
                </c:pt>
                <c:pt idx="6">
                  <c:v>Управление МКД</c:v>
                </c:pt>
                <c:pt idx="7">
                  <c:v>Водоотведение</c:v>
                </c:pt>
                <c:pt idx="8">
                  <c:v>Капитальный ремонт</c:v>
                </c:pt>
                <c:pt idx="9">
                  <c:v>Газоснабжение</c:v>
                </c:pt>
                <c:pt idx="10">
                  <c:v>Иные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140</c:v>
                </c:pt>
                <c:pt idx="1">
                  <c:v>139</c:v>
                </c:pt>
                <c:pt idx="2">
                  <c:v>113</c:v>
                </c:pt>
                <c:pt idx="3">
                  <c:v>108</c:v>
                </c:pt>
                <c:pt idx="4">
                  <c:v>30</c:v>
                </c:pt>
                <c:pt idx="5">
                  <c:v>17</c:v>
                </c:pt>
                <c:pt idx="6">
                  <c:v>16</c:v>
                </c:pt>
                <c:pt idx="7">
                  <c:v>16</c:v>
                </c:pt>
                <c:pt idx="8">
                  <c:v>7</c:v>
                </c:pt>
                <c:pt idx="9">
                  <c:v>1</c:v>
                </c:pt>
                <c:pt idx="10">
                  <c:v>51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предоставления услуг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Горячее водоснабжение</c:v>
                </c:pt>
                <c:pt idx="3">
                  <c:v>Холодное водоснабжение</c:v>
                </c:pt>
                <c:pt idx="4">
                  <c:v>Электроснабжение</c:v>
                </c:pt>
                <c:pt idx="5">
                  <c:v>Установка приборов учета</c:v>
                </c:pt>
                <c:pt idx="6">
                  <c:v>Водоотведение</c:v>
                </c:pt>
                <c:pt idx="7">
                  <c:v>Капитальный ремонт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98</c:v>
                </c:pt>
                <c:pt idx="1">
                  <c:v>70</c:v>
                </c:pt>
                <c:pt idx="2">
                  <c:v>32</c:v>
                </c:pt>
                <c:pt idx="3">
                  <c:v>22</c:v>
                </c:pt>
                <c:pt idx="4">
                  <c:v>2</c:v>
                </c:pt>
                <c:pt idx="5">
                  <c:v>6</c:v>
                </c:pt>
                <c:pt idx="6">
                  <c:v>12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Порядок расчета платы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Горячее водоснабжение</c:v>
                </c:pt>
                <c:pt idx="3">
                  <c:v>Холодное водоснабжение</c:v>
                </c:pt>
                <c:pt idx="4">
                  <c:v>Электроснабжение</c:v>
                </c:pt>
                <c:pt idx="5">
                  <c:v>Установка приборов учета</c:v>
                </c:pt>
                <c:pt idx="6">
                  <c:v>Водоотведение</c:v>
                </c:pt>
                <c:pt idx="7">
                  <c:v>Капитальный ремонт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39</c:v>
                </c:pt>
                <c:pt idx="1">
                  <c:v>67</c:v>
                </c:pt>
                <c:pt idx="2">
                  <c:v>78</c:v>
                </c:pt>
                <c:pt idx="3">
                  <c:v>82</c:v>
                </c:pt>
                <c:pt idx="4">
                  <c:v>28</c:v>
                </c:pt>
                <c:pt idx="5">
                  <c:v>11</c:v>
                </c:pt>
                <c:pt idx="6">
                  <c:v>4</c:v>
                </c:pt>
                <c:pt idx="7">
                  <c:v>4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gapWidth val="75"/>
        <c:axId val="88036096"/>
        <c:axId val="88037632"/>
      </c:barChart>
      <c:catAx>
        <c:axId val="88036096"/>
        <c:scaling>
          <c:orientation val="minMax"/>
        </c:scaling>
        <c:axPos val="b"/>
        <c:numFmt formatCode="General" sourceLinked="1"/>
        <c:majorTickMark val="none"/>
        <c:tickLblPos val="nextTo"/>
        <c:crossAx val="88037632"/>
        <c:crosses val="autoZero"/>
        <c:auto val="1"/>
        <c:lblAlgn val="ctr"/>
        <c:lblOffset val="100"/>
      </c:catAx>
      <c:valAx>
        <c:axId val="88037632"/>
        <c:scaling>
          <c:orientation val="minMax"/>
        </c:scaling>
        <c:axPos val="l"/>
        <c:numFmt formatCode="General" sourceLinked="1"/>
        <c:majorTickMark val="none"/>
        <c:tickLblPos val="nextTo"/>
        <c:crossAx val="88036096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РИУ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I.Turygin</dc:creator>
  <cp:keywords/>
  <dc:description/>
  <cp:lastModifiedBy>I.Turygin</cp:lastModifiedBy>
  <cp:revision>4</cp:revision>
  <dcterms:created xsi:type="dcterms:W3CDTF">2014-04-14T05:00:00Z</dcterms:created>
  <dcterms:modified xsi:type="dcterms:W3CDTF">2014-04-14T06:01:00Z</dcterms:modified>
</cp:coreProperties>
</file>